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DEE2" w14:textId="77777777" w:rsidR="00872033" w:rsidRDefault="00E2039A" w:rsidP="00F11F59">
      <w:pPr>
        <w:spacing w:after="0" w:line="240" w:lineRule="auto"/>
        <w:ind w:left="1440" w:hanging="1440"/>
        <w:rPr>
          <w:rFonts w:ascii="Times New Roman" w:eastAsia="Calibri" w:hAnsi="Times New Roman" w:cs="Times New Roman"/>
          <w:b/>
          <w:szCs w:val="24"/>
        </w:rPr>
      </w:pPr>
      <w:r w:rsidRPr="00E2039A">
        <w:rPr>
          <w:rFonts w:ascii="Times New Roman" w:eastAsia="Calibri" w:hAnsi="Times New Roman" w:cs="Times New Roman"/>
          <w:b/>
          <w:szCs w:val="24"/>
        </w:rPr>
        <w:t>3356-9-03.1</w:t>
      </w:r>
      <w:r w:rsidRPr="00E2039A">
        <w:rPr>
          <w:rFonts w:ascii="Times New Roman" w:eastAsia="Calibri" w:hAnsi="Times New Roman" w:cs="Times New Roman"/>
          <w:b/>
          <w:szCs w:val="24"/>
        </w:rPr>
        <w:tab/>
      </w:r>
      <w:r w:rsidRPr="00872033">
        <w:rPr>
          <w:rFonts w:ascii="Times New Roman" w:eastAsia="Calibri" w:hAnsi="Times New Roman" w:cs="Times New Roman"/>
          <w:b/>
          <w:szCs w:val="24"/>
        </w:rPr>
        <w:t>Appointment</w:t>
      </w:r>
      <w:r>
        <w:rPr>
          <w:rFonts w:ascii="Times New Roman" w:eastAsia="Calibri" w:hAnsi="Times New Roman" w:cs="Times New Roman"/>
          <w:b/>
          <w:szCs w:val="24"/>
        </w:rPr>
        <w:t xml:space="preserve"> </w:t>
      </w:r>
      <w:r w:rsidRPr="00E2039A">
        <w:rPr>
          <w:rFonts w:ascii="Times New Roman" w:eastAsia="Calibri" w:hAnsi="Times New Roman" w:cs="Times New Roman"/>
          <w:b/>
          <w:szCs w:val="24"/>
        </w:rPr>
        <w:t xml:space="preserve">of </w:t>
      </w:r>
      <w:r w:rsidR="001921AD" w:rsidRPr="00E2039A">
        <w:rPr>
          <w:rFonts w:ascii="Times New Roman" w:eastAsia="Calibri" w:hAnsi="Times New Roman" w:cs="Times New Roman"/>
          <w:b/>
          <w:szCs w:val="24"/>
        </w:rPr>
        <w:t>graduate</w:t>
      </w:r>
      <w:r w:rsidRPr="00E2039A">
        <w:rPr>
          <w:rFonts w:ascii="Times New Roman" w:eastAsia="Calibri" w:hAnsi="Times New Roman" w:cs="Times New Roman"/>
          <w:b/>
          <w:szCs w:val="24"/>
        </w:rPr>
        <w:t xml:space="preserve"> assistants</w:t>
      </w:r>
      <w:r w:rsidRPr="00872033">
        <w:rPr>
          <w:rFonts w:ascii="Times New Roman" w:eastAsia="Calibri" w:hAnsi="Times New Roman" w:cs="Times New Roman"/>
          <w:b/>
          <w:szCs w:val="24"/>
        </w:rPr>
        <w:t xml:space="preserve">, </w:t>
      </w:r>
      <w:r w:rsidR="00853836">
        <w:rPr>
          <w:rFonts w:ascii="Times New Roman" w:eastAsia="Calibri" w:hAnsi="Times New Roman" w:cs="Times New Roman"/>
          <w:b/>
          <w:szCs w:val="24"/>
        </w:rPr>
        <w:t xml:space="preserve">graduate research assistants, </w:t>
      </w:r>
      <w:r w:rsidRPr="00872033">
        <w:rPr>
          <w:rFonts w:ascii="Times New Roman" w:eastAsia="Calibri" w:hAnsi="Times New Roman" w:cs="Times New Roman"/>
          <w:b/>
          <w:szCs w:val="24"/>
        </w:rPr>
        <w:t>graduate assistant interns,</w:t>
      </w:r>
      <w:r w:rsidR="00873956">
        <w:rPr>
          <w:rFonts w:ascii="Times New Roman" w:eastAsia="Calibri" w:hAnsi="Times New Roman" w:cs="Times New Roman"/>
          <w:b/>
          <w:szCs w:val="24"/>
        </w:rPr>
        <w:t xml:space="preserve"> </w:t>
      </w:r>
      <w:r w:rsidRPr="00E2039A">
        <w:rPr>
          <w:rFonts w:ascii="Times New Roman" w:eastAsia="Calibri" w:hAnsi="Times New Roman" w:cs="Times New Roman"/>
          <w:b/>
          <w:szCs w:val="24"/>
        </w:rPr>
        <w:t xml:space="preserve">and teaching assistants. </w:t>
      </w:r>
    </w:p>
    <w:p w14:paraId="7EB03E78" w14:textId="77777777" w:rsidR="00873956" w:rsidRDefault="00873956" w:rsidP="00F11F59">
      <w:pPr>
        <w:tabs>
          <w:tab w:val="left" w:pos="3060"/>
          <w:tab w:val="left" w:pos="7200"/>
        </w:tabs>
        <w:spacing w:after="0"/>
        <w:rPr>
          <w:rFonts w:ascii="Times New Roman" w:eastAsia="Times New Roman" w:hAnsi="Times New Roman" w:cs="Times New Roman"/>
          <w:szCs w:val="24"/>
        </w:rPr>
      </w:pPr>
    </w:p>
    <w:p w14:paraId="4A596E8A" w14:textId="762BCAC0" w:rsidR="00873956" w:rsidRPr="00105232" w:rsidRDefault="00873956" w:rsidP="00F11F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4716A0">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r>
      <w:r w:rsidR="00D3444F" w:rsidRPr="0029498D">
        <w:rPr>
          <w:rFonts w:ascii="Times New Roman" w:eastAsia="Times New Roman" w:hAnsi="Times New Roman" w:cs="Times New Roman"/>
          <w:szCs w:val="24"/>
        </w:rPr>
        <w:t xml:space="preserve">Office of </w:t>
      </w:r>
      <w:r w:rsidR="00043860" w:rsidRPr="0029498D">
        <w:rPr>
          <w:rFonts w:ascii="Times New Roman" w:eastAsia="Times New Roman" w:hAnsi="Times New Roman" w:cs="Times New Roman"/>
          <w:szCs w:val="24"/>
        </w:rPr>
        <w:t>Research Services and</w:t>
      </w:r>
      <w:r>
        <w:rPr>
          <w:rFonts w:ascii="Times New Roman" w:eastAsia="Times New Roman" w:hAnsi="Times New Roman" w:cs="Times New Roman"/>
          <w:szCs w:val="24"/>
        </w:rPr>
        <w:t xml:space="preserve"> Graduate Studies</w:t>
      </w:r>
      <w:r w:rsidRPr="00105232">
        <w:rPr>
          <w:rFonts w:ascii="Times New Roman" w:eastAsia="Times New Roman" w:hAnsi="Times New Roman" w:cs="Times New Roman"/>
          <w:szCs w:val="24"/>
        </w:rPr>
        <w:tab/>
      </w:r>
    </w:p>
    <w:p w14:paraId="63F2822A" w14:textId="77777777" w:rsidR="00873956" w:rsidRPr="00105232" w:rsidRDefault="00873956" w:rsidP="00F11F5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VP for Academic Affairs</w:t>
      </w:r>
    </w:p>
    <w:p w14:paraId="697883E2" w14:textId="77777777" w:rsidR="00873956" w:rsidRDefault="00873956" w:rsidP="00F11F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January 2000; March 2010; </w:t>
      </w:r>
      <w:r w:rsidRPr="00105232">
        <w:rPr>
          <w:rFonts w:ascii="Times New Roman" w:eastAsia="Times New Roman" w:hAnsi="Times New Roman" w:cs="Times New Roman"/>
          <w:szCs w:val="24"/>
        </w:rPr>
        <w:t>June 2015</w:t>
      </w:r>
      <w:r w:rsidR="00F41436">
        <w:rPr>
          <w:rFonts w:ascii="Times New Roman" w:eastAsia="Times New Roman" w:hAnsi="Times New Roman" w:cs="Times New Roman"/>
          <w:szCs w:val="24"/>
        </w:rPr>
        <w:t>; June 2016</w:t>
      </w:r>
      <w:r w:rsidR="00853836">
        <w:rPr>
          <w:rFonts w:ascii="Times New Roman" w:eastAsia="Times New Roman" w:hAnsi="Times New Roman" w:cs="Times New Roman"/>
          <w:szCs w:val="24"/>
        </w:rPr>
        <w:t>;</w:t>
      </w:r>
    </w:p>
    <w:p w14:paraId="4F687441" w14:textId="61A8FF0F" w:rsidR="00853836" w:rsidRPr="0029498D" w:rsidRDefault="00853836" w:rsidP="00F11F59">
      <w:pPr>
        <w:tabs>
          <w:tab w:val="left" w:pos="3060"/>
          <w:tab w:val="left" w:pos="7200"/>
        </w:tabs>
        <w:spacing w:after="0"/>
        <w:rPr>
          <w:rFonts w:ascii="Times New Roman" w:eastAsia="Times New Roman" w:hAnsi="Times New Roman" w:cs="Times New Roman"/>
          <w:szCs w:val="24"/>
          <w:u w:val="single"/>
        </w:rPr>
      </w:pPr>
      <w:r>
        <w:rPr>
          <w:rFonts w:ascii="Times New Roman" w:eastAsia="Times New Roman" w:hAnsi="Times New Roman" w:cs="Times New Roman"/>
          <w:szCs w:val="24"/>
        </w:rPr>
        <w:tab/>
        <w:t>June 2017</w:t>
      </w:r>
      <w:r w:rsidR="00897843">
        <w:rPr>
          <w:rFonts w:ascii="Times New Roman" w:eastAsia="Times New Roman" w:hAnsi="Times New Roman" w:cs="Times New Roman"/>
          <w:szCs w:val="24"/>
        </w:rPr>
        <w:t>; March 2020</w:t>
      </w:r>
      <w:r w:rsidR="00043860" w:rsidRPr="0029498D">
        <w:rPr>
          <w:rFonts w:ascii="Times New Roman" w:eastAsia="Times New Roman" w:hAnsi="Times New Roman" w:cs="Times New Roman"/>
          <w:szCs w:val="24"/>
        </w:rPr>
        <w:t>; March 2025</w:t>
      </w:r>
    </w:p>
    <w:p w14:paraId="7540C4D1" w14:textId="77777777" w:rsidR="00873956" w:rsidRPr="00105232" w:rsidRDefault="00873956" w:rsidP="00F11F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Academic and Student </w:t>
      </w:r>
      <w:r w:rsidR="00853836">
        <w:rPr>
          <w:rFonts w:ascii="Times New Roman" w:eastAsia="Times New Roman" w:hAnsi="Times New Roman" w:cs="Times New Roman"/>
          <w:szCs w:val="24"/>
        </w:rPr>
        <w:t>Affairs</w:t>
      </w:r>
    </w:p>
    <w:p w14:paraId="50CB72A5" w14:textId="000E22BC" w:rsidR="00873956" w:rsidRPr="0029498D" w:rsidRDefault="004716A0" w:rsidP="00F11F59">
      <w:pPr>
        <w:tabs>
          <w:tab w:val="left" w:pos="3060"/>
          <w:tab w:val="left" w:pos="7200"/>
        </w:tabs>
        <w:spacing w:after="0"/>
        <w:rPr>
          <w:rFonts w:ascii="Times New Roman" w:eastAsia="Times New Roman" w:hAnsi="Times New Roman" w:cs="Times New Roman"/>
          <w:szCs w:val="24"/>
          <w:u w:val="single"/>
        </w:rPr>
      </w:pPr>
      <w:r>
        <w:rPr>
          <w:rFonts w:ascii="Times New Roman" w:eastAsia="Times New Roman" w:hAnsi="Times New Roman" w:cs="Times New Roman"/>
          <w:b/>
          <w:szCs w:val="24"/>
        </w:rPr>
        <w:t xml:space="preserve">Effective </w:t>
      </w:r>
      <w:r w:rsidR="00873956">
        <w:rPr>
          <w:rFonts w:ascii="Times New Roman" w:eastAsia="Times New Roman" w:hAnsi="Times New Roman" w:cs="Times New Roman"/>
          <w:b/>
          <w:szCs w:val="24"/>
        </w:rPr>
        <w:t>Date</w:t>
      </w:r>
      <w:r w:rsidR="00873956" w:rsidRPr="00105232">
        <w:rPr>
          <w:rFonts w:ascii="Times New Roman" w:eastAsia="Times New Roman" w:hAnsi="Times New Roman" w:cs="Times New Roman"/>
          <w:b/>
          <w:szCs w:val="24"/>
        </w:rPr>
        <w:t>:</w:t>
      </w:r>
      <w:r w:rsidR="00873956" w:rsidRPr="00105232">
        <w:rPr>
          <w:rFonts w:ascii="Times New Roman" w:eastAsia="Times New Roman" w:hAnsi="Times New Roman" w:cs="Times New Roman"/>
          <w:szCs w:val="24"/>
        </w:rPr>
        <w:tab/>
      </w:r>
      <w:r w:rsidR="006834BD" w:rsidRPr="0029498D">
        <w:rPr>
          <w:rFonts w:ascii="Times New Roman" w:eastAsia="Times New Roman" w:hAnsi="Times New Roman" w:cs="Times New Roman"/>
          <w:b/>
          <w:szCs w:val="24"/>
        </w:rPr>
        <w:t>March 13, 2025</w:t>
      </w:r>
    </w:p>
    <w:p w14:paraId="27FA135D" w14:textId="3957241E" w:rsidR="00873956" w:rsidRPr="0029498D" w:rsidRDefault="00873956" w:rsidP="00F11F59">
      <w:pPr>
        <w:tabs>
          <w:tab w:val="left" w:pos="3060"/>
          <w:tab w:val="left" w:pos="7200"/>
        </w:tabs>
        <w:spacing w:after="0"/>
        <w:rPr>
          <w:rFonts w:ascii="Times New Roman" w:eastAsia="Times New Roman" w:hAnsi="Times New Roman" w:cs="Times New Roman"/>
          <w:szCs w:val="24"/>
          <w:u w:val="single"/>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6834BD" w:rsidRPr="0029498D">
        <w:rPr>
          <w:rFonts w:ascii="Times New Roman" w:eastAsia="Times New Roman" w:hAnsi="Times New Roman" w:cs="Times New Roman"/>
          <w:szCs w:val="24"/>
        </w:rPr>
        <w:t>20</w:t>
      </w:r>
      <w:r w:rsidR="00040623" w:rsidRPr="0029498D">
        <w:rPr>
          <w:rFonts w:ascii="Times New Roman" w:eastAsia="Times New Roman" w:hAnsi="Times New Roman" w:cs="Times New Roman"/>
          <w:szCs w:val="24"/>
        </w:rPr>
        <w:t>30</w:t>
      </w:r>
    </w:p>
    <w:p w14:paraId="3FC58E15" w14:textId="77777777" w:rsidR="00873956" w:rsidRPr="0000141B" w:rsidRDefault="00873956" w:rsidP="00F11F59">
      <w:pPr>
        <w:tabs>
          <w:tab w:val="left" w:pos="3060"/>
          <w:tab w:val="left" w:pos="7200"/>
        </w:tabs>
        <w:spacing w:after="0" w:line="240" w:lineRule="auto"/>
        <w:rPr>
          <w:rFonts w:ascii="Times New Roman" w:eastAsia="Times New Roman" w:hAnsi="Times New Roman" w:cs="Times New Roman"/>
          <w:szCs w:val="24"/>
          <w:u w:val="single"/>
        </w:rPr>
      </w:pPr>
      <w:r w:rsidRPr="0000141B">
        <w:rPr>
          <w:rFonts w:ascii="Times New Roman" w:eastAsia="Times New Roman" w:hAnsi="Times New Roman" w:cs="Times New Roman"/>
          <w:szCs w:val="24"/>
          <w:u w:val="single"/>
        </w:rPr>
        <w:tab/>
      </w:r>
      <w:r w:rsidRPr="0000141B">
        <w:rPr>
          <w:rFonts w:ascii="Times New Roman" w:eastAsia="Times New Roman" w:hAnsi="Times New Roman" w:cs="Times New Roman"/>
          <w:szCs w:val="24"/>
          <w:u w:val="single"/>
        </w:rPr>
        <w:tab/>
      </w:r>
      <w:r>
        <w:rPr>
          <w:rFonts w:ascii="Times New Roman" w:eastAsia="Times New Roman" w:hAnsi="Times New Roman" w:cs="Times New Roman"/>
          <w:szCs w:val="24"/>
          <w:u w:val="single"/>
        </w:rPr>
        <w:tab/>
      </w:r>
    </w:p>
    <w:p w14:paraId="18E8976B" w14:textId="77777777" w:rsidR="00E2039A" w:rsidRPr="00E2039A" w:rsidRDefault="00E2039A" w:rsidP="00F11F59">
      <w:pPr>
        <w:spacing w:after="0" w:line="240" w:lineRule="auto"/>
        <w:rPr>
          <w:rFonts w:ascii="Times New Roman" w:eastAsia="Calibri" w:hAnsi="Times New Roman" w:cs="Times New Roman"/>
          <w:szCs w:val="24"/>
        </w:rPr>
      </w:pPr>
    </w:p>
    <w:p w14:paraId="2E05AAE8" w14:textId="77777777" w:rsidR="0013725C" w:rsidRPr="0029498D" w:rsidRDefault="0013725C" w:rsidP="00F11F59">
      <w:pPr>
        <w:spacing w:after="0" w:line="240" w:lineRule="auto"/>
        <w:ind w:left="720" w:hanging="720"/>
        <w:rPr>
          <w:rFonts w:ascii="Times New Roman" w:eastAsia="Calibri" w:hAnsi="Times New Roman" w:cs="Times New Roman"/>
          <w:szCs w:val="24"/>
        </w:rPr>
      </w:pPr>
      <w:r w:rsidRPr="0029498D">
        <w:rPr>
          <w:rFonts w:ascii="Times New Roman" w:eastAsia="Calibri" w:hAnsi="Times New Roman" w:cs="Times New Roman"/>
          <w:szCs w:val="24"/>
        </w:rPr>
        <w:t>(A)</w:t>
      </w:r>
      <w:r w:rsidRPr="0029498D">
        <w:rPr>
          <w:rFonts w:ascii="Times New Roman" w:eastAsia="Calibri" w:hAnsi="Times New Roman" w:cs="Times New Roman"/>
          <w:szCs w:val="24"/>
        </w:rPr>
        <w:tab/>
        <w:t xml:space="preserve">Policy statement.  While the president has overall responsibility for the management of the university, the responsibility for employment decisions of personnel is delegated to the provost and vice presidents.  Each divisional executive officer is responsible for making personnel decisions within the described university procedures. </w:t>
      </w:r>
    </w:p>
    <w:p w14:paraId="2A7A4140" w14:textId="77777777" w:rsidR="0013725C" w:rsidRPr="0029498D" w:rsidRDefault="0013725C" w:rsidP="00F11F59">
      <w:pPr>
        <w:spacing w:after="0" w:line="240" w:lineRule="auto"/>
        <w:ind w:left="720" w:hanging="720"/>
        <w:rPr>
          <w:rFonts w:ascii="Times New Roman" w:eastAsia="Calibri" w:hAnsi="Times New Roman" w:cs="Times New Roman"/>
          <w:szCs w:val="24"/>
        </w:rPr>
      </w:pPr>
    </w:p>
    <w:p w14:paraId="2F260C38" w14:textId="7550DB67" w:rsidR="0013725C" w:rsidRPr="0029498D" w:rsidRDefault="0013725C" w:rsidP="00F11F59">
      <w:pPr>
        <w:spacing w:after="0" w:line="240" w:lineRule="auto"/>
        <w:ind w:left="720" w:hanging="720"/>
        <w:rPr>
          <w:rFonts w:ascii="Times New Roman" w:eastAsia="Calibri" w:hAnsi="Times New Roman" w:cs="Times New Roman"/>
          <w:szCs w:val="24"/>
        </w:rPr>
      </w:pPr>
      <w:r w:rsidRPr="0029498D">
        <w:rPr>
          <w:rFonts w:ascii="Times New Roman" w:eastAsia="Calibri" w:hAnsi="Times New Roman" w:cs="Times New Roman"/>
          <w:szCs w:val="24"/>
        </w:rPr>
        <w:t>(B)</w:t>
      </w:r>
      <w:r w:rsidRPr="0029498D">
        <w:rPr>
          <w:rFonts w:ascii="Times New Roman" w:eastAsia="Calibri" w:hAnsi="Times New Roman" w:cs="Times New Roman"/>
          <w:szCs w:val="24"/>
        </w:rPr>
        <w:tab/>
        <w:t>Purpose.  The graduate assistantship program is predicated upon the concept that given an opportunity to assist the faculty</w:t>
      </w:r>
      <w:r w:rsidR="004425C6" w:rsidRPr="0029498D">
        <w:rPr>
          <w:rFonts w:ascii="Times New Roman" w:eastAsia="Calibri" w:hAnsi="Times New Roman" w:cs="Times New Roman"/>
          <w:szCs w:val="24"/>
        </w:rPr>
        <w:t xml:space="preserve"> </w:t>
      </w:r>
      <w:r w:rsidR="00040623" w:rsidRPr="0029498D">
        <w:rPr>
          <w:rFonts w:ascii="Times New Roman" w:eastAsia="Calibri" w:hAnsi="Times New Roman" w:cs="Times New Roman"/>
          <w:szCs w:val="24"/>
        </w:rPr>
        <w:t>and staff</w:t>
      </w:r>
      <w:r w:rsidRPr="0029498D">
        <w:rPr>
          <w:rFonts w:ascii="Times New Roman" w:eastAsia="Calibri" w:hAnsi="Times New Roman" w:cs="Times New Roman"/>
          <w:szCs w:val="24"/>
        </w:rPr>
        <w:t xml:space="preserve">, graduate students provide a service to the university and gain valuable academic experience, which is appropriately supported through the annual institutional budget process.  How the assistantship enhances the student’s education must be apparent. </w:t>
      </w:r>
    </w:p>
    <w:p w14:paraId="61AF7D42" w14:textId="77777777" w:rsidR="0013725C" w:rsidRPr="0029498D" w:rsidRDefault="0013725C" w:rsidP="00F11F59">
      <w:pPr>
        <w:spacing w:after="0" w:line="240" w:lineRule="auto"/>
        <w:ind w:left="720" w:hanging="720"/>
        <w:rPr>
          <w:rFonts w:ascii="Times New Roman" w:eastAsia="Calibri" w:hAnsi="Times New Roman" w:cs="Times New Roman"/>
          <w:szCs w:val="24"/>
        </w:rPr>
      </w:pPr>
    </w:p>
    <w:p w14:paraId="246540AB" w14:textId="77777777" w:rsidR="0013725C" w:rsidRPr="0029498D" w:rsidRDefault="0013725C" w:rsidP="00F11F59">
      <w:pPr>
        <w:spacing w:after="0" w:line="240" w:lineRule="auto"/>
        <w:ind w:left="720" w:hanging="720"/>
        <w:rPr>
          <w:rFonts w:ascii="Times New Roman" w:eastAsia="Calibri" w:hAnsi="Times New Roman" w:cs="Times New Roman"/>
          <w:szCs w:val="24"/>
        </w:rPr>
      </w:pPr>
      <w:r w:rsidRPr="0029498D">
        <w:rPr>
          <w:rFonts w:ascii="Times New Roman" w:eastAsia="Calibri" w:hAnsi="Times New Roman" w:cs="Times New Roman"/>
          <w:szCs w:val="24"/>
        </w:rPr>
        <w:t>(C)</w:t>
      </w:r>
      <w:r w:rsidRPr="0029498D">
        <w:rPr>
          <w:rFonts w:ascii="Times New Roman" w:eastAsia="Calibri" w:hAnsi="Times New Roman" w:cs="Times New Roman"/>
          <w:szCs w:val="24"/>
        </w:rPr>
        <w:tab/>
        <w:t xml:space="preserve">Parameters.  </w:t>
      </w:r>
    </w:p>
    <w:p w14:paraId="5B6EA4FB" w14:textId="77777777" w:rsidR="0013725C" w:rsidRPr="0029498D" w:rsidRDefault="0013725C" w:rsidP="00F11F59">
      <w:pPr>
        <w:spacing w:after="0" w:line="240" w:lineRule="auto"/>
        <w:ind w:left="720" w:hanging="720"/>
        <w:rPr>
          <w:rFonts w:ascii="Times New Roman" w:eastAsia="Calibri" w:hAnsi="Times New Roman" w:cs="Times New Roman"/>
          <w:szCs w:val="24"/>
        </w:rPr>
      </w:pPr>
    </w:p>
    <w:p w14:paraId="3EBC0840" w14:textId="7B0087B3"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(1)</w:t>
      </w:r>
      <w:r w:rsidRPr="0029498D">
        <w:rPr>
          <w:rFonts w:ascii="Times New Roman" w:eastAsia="Calibri" w:hAnsi="Times New Roman" w:cs="Times New Roman"/>
          <w:szCs w:val="24"/>
        </w:rPr>
        <w:tab/>
        <w:t>A graduate assistant (“GA”) will normally be assigned duties primarily focused on the conduct of research/scholarly activity.  A GA may be assigned teaching duties</w:t>
      </w:r>
      <w:r w:rsidRPr="0029498D">
        <w:rPr>
          <w:rFonts w:ascii="Times New Roman" w:eastAsia="Calibri" w:hAnsi="Times New Roman" w:cs="Times New Roman"/>
          <w:strike/>
          <w:szCs w:val="24"/>
        </w:rPr>
        <w:t>,</w:t>
      </w:r>
      <w:r w:rsidRPr="0029498D">
        <w:rPr>
          <w:rFonts w:ascii="Times New Roman" w:eastAsia="Calibri" w:hAnsi="Times New Roman" w:cs="Times New Roman"/>
          <w:szCs w:val="24"/>
        </w:rPr>
        <w:t xml:space="preserve"> but should not be the instructor of record.  A graduate research assistant (“GRA”) will</w:t>
      </w:r>
      <w:r w:rsidR="000F07E1">
        <w:rPr>
          <w:rFonts w:ascii="Times New Roman" w:eastAsia="Calibri" w:hAnsi="Times New Roman" w:cs="Times New Roman"/>
          <w:szCs w:val="24"/>
        </w:rPr>
        <w:t xml:space="preserve"> </w:t>
      </w:r>
      <w:r w:rsidRPr="0029498D">
        <w:rPr>
          <w:rFonts w:ascii="Times New Roman" w:eastAsia="Calibri" w:hAnsi="Times New Roman" w:cs="Times New Roman"/>
          <w:szCs w:val="24"/>
        </w:rPr>
        <w:t xml:space="preserve"> be assigned duties focused on the conduct of research/scholarly activity.  A graduate assistant/intern (“GA/I”) is a special category of graduate assistant designated to provide opportunities for university offices or departments, community companies or agencies, or other appropriate external sponsors to involve graduate students as academic assistants/interns in </w:t>
      </w:r>
      <w:r w:rsidR="002901E1" w:rsidRPr="0029498D">
        <w:rPr>
          <w:rFonts w:ascii="Times New Roman" w:eastAsia="Calibri" w:hAnsi="Times New Roman" w:cs="Times New Roman"/>
          <w:szCs w:val="24"/>
        </w:rPr>
        <w:t>professional</w:t>
      </w:r>
      <w:r w:rsidRPr="0029498D">
        <w:rPr>
          <w:rFonts w:ascii="Times New Roman" w:eastAsia="Calibri" w:hAnsi="Times New Roman" w:cs="Times New Roman"/>
          <w:szCs w:val="24"/>
        </w:rPr>
        <w:t xml:space="preserve"> experiences </w:t>
      </w:r>
      <w:r w:rsidR="006A3529" w:rsidRPr="0029498D">
        <w:rPr>
          <w:rFonts w:ascii="Times New Roman" w:eastAsia="Calibri" w:hAnsi="Times New Roman" w:cs="Times New Roman"/>
          <w:szCs w:val="24"/>
        </w:rPr>
        <w:t>in support of</w:t>
      </w:r>
      <w:r w:rsidRPr="0029498D">
        <w:rPr>
          <w:rFonts w:ascii="Times New Roman" w:eastAsia="Calibri" w:hAnsi="Times New Roman" w:cs="Times New Roman"/>
          <w:szCs w:val="24"/>
        </w:rPr>
        <w:t xml:space="preserve"> their fields of study.  A teaching assistant (“TA”) will be assigned duties focused on instruction and may be the instructor of record for a regularly scheduled class.  </w:t>
      </w:r>
    </w:p>
    <w:p w14:paraId="4E955BA3"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7EC997F1" w14:textId="3E552C64" w:rsidR="0013725C" w:rsidRPr="0029498D" w:rsidRDefault="0013725C" w:rsidP="00F11F59">
      <w:pPr>
        <w:spacing w:after="0" w:line="240" w:lineRule="auto"/>
        <w:ind w:left="1440" w:hanging="720"/>
        <w:rPr>
          <w:rFonts w:ascii="Times New Roman" w:eastAsia="Calibri" w:hAnsi="Times New Roman" w:cs="Times New Roman"/>
          <w:strike/>
          <w:szCs w:val="24"/>
        </w:rPr>
      </w:pPr>
      <w:r w:rsidRPr="0029498D">
        <w:rPr>
          <w:rFonts w:ascii="Times New Roman" w:eastAsia="Calibri" w:hAnsi="Times New Roman" w:cs="Times New Roman"/>
        </w:rPr>
        <w:t>(2)</w:t>
      </w:r>
      <w:r w:rsidRPr="0029498D">
        <w:tab/>
      </w:r>
      <w:r w:rsidRPr="0029498D">
        <w:rPr>
          <w:rFonts w:ascii="Times New Roman" w:eastAsia="Calibri" w:hAnsi="Times New Roman" w:cs="Times New Roman"/>
        </w:rPr>
        <w:t>A student appointed as a graduate assistant (GA, GRA,</w:t>
      </w:r>
      <w:r w:rsidR="002D1985" w:rsidRPr="0029498D">
        <w:rPr>
          <w:rFonts w:ascii="Times New Roman" w:eastAsia="Calibri" w:hAnsi="Times New Roman" w:cs="Times New Roman"/>
        </w:rPr>
        <w:t xml:space="preserve"> </w:t>
      </w:r>
      <w:r w:rsidRPr="0029498D">
        <w:rPr>
          <w:rFonts w:ascii="Times New Roman" w:eastAsia="Calibri" w:hAnsi="Times New Roman" w:cs="Times New Roman"/>
        </w:rPr>
        <w:t xml:space="preserve">GA/I and TA) will be paid a stipend and </w:t>
      </w:r>
      <w:r w:rsidR="00017068" w:rsidRPr="0029498D">
        <w:rPr>
          <w:rFonts w:ascii="Times New Roman" w:eastAsia="Calibri" w:hAnsi="Times New Roman" w:cs="Times New Roman"/>
        </w:rPr>
        <w:t xml:space="preserve">receive tuition remission </w:t>
      </w:r>
      <w:r w:rsidRPr="0029498D">
        <w:rPr>
          <w:rFonts w:ascii="Times New Roman" w:eastAsia="Calibri" w:hAnsi="Times New Roman" w:cs="Times New Roman"/>
        </w:rPr>
        <w:t>(up to eighteen semester hours per semester and up to twelve semester hours for the summer term)</w:t>
      </w:r>
      <w:r w:rsidR="00AD63A3" w:rsidRPr="0029498D">
        <w:rPr>
          <w:rFonts w:ascii="Times New Roman" w:eastAsia="Calibri" w:hAnsi="Times New Roman" w:cs="Times New Roman"/>
        </w:rPr>
        <w:t>.  Parking</w:t>
      </w:r>
      <w:r w:rsidR="00345CE5" w:rsidRPr="0029498D">
        <w:rPr>
          <w:rFonts w:ascii="Times New Roman" w:eastAsia="Calibri" w:hAnsi="Times New Roman" w:cs="Times New Roman"/>
        </w:rPr>
        <w:t xml:space="preserve"> fee and out-of-state surcharge</w:t>
      </w:r>
      <w:r w:rsidRPr="0029498D">
        <w:rPr>
          <w:rFonts w:ascii="Times New Roman" w:eastAsia="Calibri" w:hAnsi="Times New Roman" w:cs="Times New Roman"/>
        </w:rPr>
        <w:t xml:space="preserve"> will be remitted.</w:t>
      </w:r>
      <w:r w:rsidRPr="0029498D">
        <w:rPr>
          <w:rFonts w:ascii="Times New Roman" w:eastAsia="Calibri" w:hAnsi="Times New Roman" w:cs="Times New Roman"/>
          <w:strike/>
          <w:szCs w:val="24"/>
        </w:rPr>
        <w:t xml:space="preserve"> </w:t>
      </w:r>
    </w:p>
    <w:p w14:paraId="16D6E606"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4D433631" w14:textId="6494E0C7"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(3)</w:t>
      </w:r>
      <w:r w:rsidRPr="0029498D">
        <w:rPr>
          <w:rFonts w:ascii="Times New Roman" w:eastAsia="Calibri" w:hAnsi="Times New Roman" w:cs="Times New Roman"/>
          <w:szCs w:val="24"/>
        </w:rPr>
        <w:tab/>
        <w:t xml:space="preserve">The </w:t>
      </w:r>
      <w:r w:rsidR="008B6196" w:rsidRPr="0029498D">
        <w:rPr>
          <w:rFonts w:ascii="Times New Roman" w:eastAsia="Calibri" w:hAnsi="Times New Roman" w:cs="Times New Roman"/>
          <w:szCs w:val="24"/>
        </w:rPr>
        <w:t xml:space="preserve">associate provost </w:t>
      </w:r>
      <w:r w:rsidRPr="0029498D">
        <w:rPr>
          <w:rFonts w:ascii="Times New Roman" w:eastAsia="Calibri" w:hAnsi="Times New Roman" w:cs="Times New Roman"/>
          <w:szCs w:val="24"/>
        </w:rPr>
        <w:t xml:space="preserve">is responsible for the administration of the program and appointment of graduate assistants, graduate research assistants, graduate assistant interns, and teaching assistants. </w:t>
      </w:r>
    </w:p>
    <w:p w14:paraId="5EC50937" w14:textId="2F991192" w:rsidR="0013725C" w:rsidRPr="0029498D" w:rsidRDefault="0013725C" w:rsidP="00F11F59">
      <w:pPr>
        <w:spacing w:after="0" w:line="240" w:lineRule="auto"/>
        <w:ind w:left="720"/>
        <w:rPr>
          <w:rFonts w:ascii="Times New Roman" w:eastAsia="Calibri" w:hAnsi="Times New Roman" w:cs="Times New Roman"/>
          <w:szCs w:val="24"/>
        </w:rPr>
      </w:pPr>
    </w:p>
    <w:p w14:paraId="47FF7C70" w14:textId="15AD440C" w:rsidR="0013725C" w:rsidRPr="0029498D" w:rsidRDefault="00597AE8"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(4)</w:t>
      </w:r>
      <w:r w:rsidR="0013725C" w:rsidRPr="0029498D">
        <w:rPr>
          <w:rFonts w:ascii="Times New Roman" w:eastAsia="Calibri" w:hAnsi="Times New Roman" w:cs="Times New Roman"/>
          <w:szCs w:val="24"/>
        </w:rPr>
        <w:tab/>
        <w:t>The total number of graduate assistantships</w:t>
      </w:r>
      <w:r w:rsidR="00B30D2D" w:rsidRPr="0029498D">
        <w:rPr>
          <w:rFonts w:ascii="Times New Roman" w:eastAsia="Calibri" w:hAnsi="Times New Roman" w:cs="Times New Roman"/>
          <w:szCs w:val="24"/>
        </w:rPr>
        <w:t xml:space="preserve"> and</w:t>
      </w:r>
      <w:r w:rsidR="0013725C" w:rsidRPr="0029498D">
        <w:rPr>
          <w:rFonts w:ascii="Times New Roman" w:eastAsia="Calibri" w:hAnsi="Times New Roman" w:cs="Times New Roman"/>
          <w:szCs w:val="24"/>
        </w:rPr>
        <w:t xml:space="preserve"> teaching assistantships shall be allocated annually as a part of the institutional budget development process and will take into account the needs of new graduate programs as they are developed and implemented and the opportunities to increase enrollment and research through the growth of existing graduate programs.  Colleges, departments, or external sources can also provide funds to support additional assistantships.  </w:t>
      </w:r>
    </w:p>
    <w:p w14:paraId="2F55BF63"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0DE27E78" w14:textId="778325E4" w:rsidR="00F4107F" w:rsidRPr="0029498D" w:rsidRDefault="00597AE8"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(5)</w:t>
      </w:r>
      <w:r w:rsidR="0013725C" w:rsidRPr="0029498D">
        <w:rPr>
          <w:rFonts w:ascii="Times New Roman" w:eastAsia="Calibri" w:hAnsi="Times New Roman" w:cs="Times New Roman"/>
          <w:szCs w:val="24"/>
        </w:rPr>
        <w:tab/>
        <w:t xml:space="preserve">Additional assistantship positions may be created by the </w:t>
      </w:r>
      <w:r w:rsidR="00F4107F" w:rsidRPr="0029498D">
        <w:rPr>
          <w:rFonts w:ascii="Times New Roman" w:eastAsia="Calibri" w:hAnsi="Times New Roman" w:cs="Times New Roman"/>
          <w:szCs w:val="24"/>
        </w:rPr>
        <w:t xml:space="preserve">associate provost </w:t>
      </w:r>
      <w:r w:rsidR="0013725C" w:rsidRPr="0029498D">
        <w:rPr>
          <w:rFonts w:ascii="Times New Roman" w:eastAsia="Calibri" w:hAnsi="Times New Roman" w:cs="Times New Roman"/>
          <w:szCs w:val="24"/>
        </w:rPr>
        <w:t>when external funding has been obtained.  In such cases, payment for assistantships may be made at rates higher than normal university rates if the external funding agency has a predetermined payment schedule or allows higher rates of payment.</w:t>
      </w:r>
    </w:p>
    <w:p w14:paraId="6EC7B2C9" w14:textId="77777777" w:rsidR="00F4107F" w:rsidRPr="0029498D" w:rsidRDefault="00F4107F" w:rsidP="00F11F59">
      <w:pPr>
        <w:spacing w:after="0" w:line="240" w:lineRule="auto"/>
        <w:ind w:left="1440" w:hanging="720"/>
        <w:rPr>
          <w:rFonts w:ascii="Times New Roman" w:eastAsia="Calibri" w:hAnsi="Times New Roman" w:cs="Times New Roman"/>
          <w:szCs w:val="24"/>
        </w:rPr>
      </w:pPr>
    </w:p>
    <w:p w14:paraId="0EED2EA9" w14:textId="44CA0D0E" w:rsidR="0070726C" w:rsidRPr="0029498D" w:rsidRDefault="004D2780"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(6)</w:t>
      </w:r>
      <w:r w:rsidRPr="0029498D">
        <w:rPr>
          <w:rFonts w:ascii="Times New Roman" w:eastAsia="Calibri" w:hAnsi="Times New Roman" w:cs="Times New Roman"/>
          <w:szCs w:val="24"/>
        </w:rPr>
        <w:tab/>
        <w:t>GA, TA, and GA/I are typically two semester appointments and a GRA is a twelve-month appointment.</w:t>
      </w:r>
      <w:r w:rsidR="0013725C" w:rsidRPr="0029498D">
        <w:rPr>
          <w:rFonts w:ascii="Times New Roman" w:eastAsia="Calibri" w:hAnsi="Times New Roman" w:cs="Times New Roman"/>
          <w:szCs w:val="24"/>
        </w:rPr>
        <w:t xml:space="preserve">    </w:t>
      </w:r>
    </w:p>
    <w:p w14:paraId="07905146" w14:textId="77777777" w:rsidR="0013725C" w:rsidRPr="0029498D" w:rsidRDefault="0013725C" w:rsidP="00F11F59">
      <w:pPr>
        <w:spacing w:after="0" w:line="240" w:lineRule="auto"/>
        <w:ind w:left="720" w:hanging="720"/>
        <w:rPr>
          <w:rFonts w:ascii="Times New Roman" w:eastAsia="Calibri" w:hAnsi="Times New Roman" w:cs="Times New Roman"/>
          <w:szCs w:val="24"/>
        </w:rPr>
      </w:pPr>
    </w:p>
    <w:p w14:paraId="468A99DC" w14:textId="77777777" w:rsidR="0013725C" w:rsidRPr="0029498D" w:rsidRDefault="0013725C" w:rsidP="00F11F59">
      <w:pPr>
        <w:spacing w:after="0" w:line="240" w:lineRule="auto"/>
        <w:ind w:left="720" w:hanging="720"/>
        <w:rPr>
          <w:rFonts w:ascii="Times New Roman" w:eastAsia="Calibri" w:hAnsi="Times New Roman" w:cs="Times New Roman"/>
          <w:szCs w:val="24"/>
        </w:rPr>
      </w:pPr>
      <w:r w:rsidRPr="0029498D">
        <w:rPr>
          <w:rFonts w:ascii="Times New Roman" w:eastAsia="Calibri" w:hAnsi="Times New Roman" w:cs="Times New Roman"/>
          <w:szCs w:val="24"/>
        </w:rPr>
        <w:t>(D)</w:t>
      </w:r>
      <w:r w:rsidRPr="0029498D">
        <w:rPr>
          <w:rFonts w:ascii="Times New Roman" w:eastAsia="Calibri" w:hAnsi="Times New Roman" w:cs="Times New Roman"/>
          <w:szCs w:val="24"/>
        </w:rPr>
        <w:tab/>
        <w:t xml:space="preserve">Procedures. </w:t>
      </w:r>
      <w:r w:rsidRPr="0029498D">
        <w:rPr>
          <w:rFonts w:ascii="Times New Roman" w:eastAsia="Calibri" w:hAnsi="Times New Roman" w:cs="Times New Roman"/>
          <w:szCs w:val="24"/>
        </w:rPr>
        <w:br/>
      </w:r>
    </w:p>
    <w:p w14:paraId="4E3D65F0" w14:textId="3FD2E588"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(1)</w:t>
      </w:r>
      <w:r w:rsidRPr="0029498D">
        <w:rPr>
          <w:rFonts w:ascii="Times New Roman" w:eastAsia="Calibri" w:hAnsi="Times New Roman" w:cs="Times New Roman"/>
          <w:szCs w:val="24"/>
        </w:rPr>
        <w:tab/>
        <w:t xml:space="preserve">The </w:t>
      </w:r>
      <w:r w:rsidR="00AB5646" w:rsidRPr="0029498D">
        <w:rPr>
          <w:rFonts w:ascii="Times New Roman" w:eastAsia="Calibri" w:hAnsi="Times New Roman" w:cs="Times New Roman"/>
          <w:szCs w:val="24"/>
        </w:rPr>
        <w:t xml:space="preserve">associate provost </w:t>
      </w:r>
      <w:r w:rsidRPr="0029498D">
        <w:rPr>
          <w:rFonts w:ascii="Times New Roman" w:eastAsia="Calibri" w:hAnsi="Times New Roman" w:cs="Times New Roman"/>
          <w:szCs w:val="24"/>
        </w:rPr>
        <w:t xml:space="preserve">shall allocate graduate assistants approved within the university budget across the institution.  </w:t>
      </w:r>
    </w:p>
    <w:p w14:paraId="247C79F0"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565EA62E" w14:textId="18BC69B3"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(2)</w:t>
      </w:r>
      <w:r w:rsidRPr="0029498D">
        <w:rPr>
          <w:rFonts w:ascii="Times New Roman" w:eastAsia="Calibri" w:hAnsi="Times New Roman" w:cs="Times New Roman"/>
          <w:szCs w:val="24"/>
        </w:rPr>
        <w:tab/>
        <w:t xml:space="preserve">An academic department may recommend only full-time graduate students with regular (not provisional) status for an assistantship.  Exceptions to this requirement may be granted only prior to appointment by the </w:t>
      </w:r>
      <w:r w:rsidR="00FD22AF" w:rsidRPr="0029498D">
        <w:rPr>
          <w:rFonts w:ascii="Times New Roman" w:eastAsia="Calibri" w:hAnsi="Times New Roman" w:cs="Times New Roman"/>
          <w:szCs w:val="24"/>
        </w:rPr>
        <w:t xml:space="preserve">associate provost </w:t>
      </w:r>
      <w:r w:rsidRPr="0029498D">
        <w:rPr>
          <w:rFonts w:ascii="Times New Roman" w:eastAsia="Calibri" w:hAnsi="Times New Roman" w:cs="Times New Roman"/>
          <w:szCs w:val="24"/>
        </w:rPr>
        <w:t xml:space="preserve">with sufficient justification from the recommending department.  A GA or TA with a teaching assignment may not have any undergraduate academic course </w:t>
      </w:r>
      <w:r w:rsidRPr="0029498D">
        <w:rPr>
          <w:rFonts w:ascii="Times New Roman" w:eastAsia="Calibri" w:hAnsi="Times New Roman" w:cs="Times New Roman"/>
          <w:szCs w:val="24"/>
        </w:rPr>
        <w:lastRenderedPageBreak/>
        <w:t xml:space="preserve">deficiencies in any area that will be included in the assistant’s teaching assignments.  </w:t>
      </w:r>
    </w:p>
    <w:p w14:paraId="081A232F"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6DC467D6" w14:textId="2FA717A2"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(3)</w:t>
      </w:r>
      <w:r w:rsidRPr="0029498D">
        <w:rPr>
          <w:rFonts w:ascii="Times New Roman" w:eastAsia="Calibri" w:hAnsi="Times New Roman" w:cs="Times New Roman"/>
          <w:szCs w:val="24"/>
        </w:rPr>
        <w:tab/>
        <w:t>Recommendation to appoint a GA, GRA, GA/I and/or TA must be obtained from the academic dean. Applications with the appropriate recommendations for appointment are forwarded to the</w:t>
      </w:r>
      <w:r w:rsidRPr="0029498D">
        <w:rPr>
          <w:rFonts w:ascii="Times New Roman" w:eastAsia="Calibri" w:hAnsi="Times New Roman" w:cs="Times New Roman"/>
          <w:strike/>
          <w:szCs w:val="24"/>
        </w:rPr>
        <w:t xml:space="preserve"> </w:t>
      </w:r>
      <w:r w:rsidR="00CD6969" w:rsidRPr="0029498D">
        <w:rPr>
          <w:rFonts w:ascii="Times New Roman" w:eastAsia="Calibri" w:hAnsi="Times New Roman" w:cs="Times New Roman"/>
          <w:szCs w:val="24"/>
        </w:rPr>
        <w:t>associate provost</w:t>
      </w:r>
      <w:r w:rsidRPr="0029498D">
        <w:rPr>
          <w:rFonts w:ascii="Times New Roman" w:eastAsia="Calibri" w:hAnsi="Times New Roman" w:cs="Times New Roman"/>
          <w:szCs w:val="24"/>
        </w:rPr>
        <w:t xml:space="preserve">, who makes the official appointment.  </w:t>
      </w:r>
      <w:r w:rsidR="00D87FEF" w:rsidRPr="0029498D">
        <w:rPr>
          <w:rFonts w:ascii="Times New Roman" w:eastAsia="Calibri" w:hAnsi="Times New Roman" w:cs="Times New Roman"/>
          <w:szCs w:val="24"/>
        </w:rPr>
        <w:t>No</w:t>
      </w:r>
      <w:r w:rsidRPr="0029498D">
        <w:rPr>
          <w:rFonts w:ascii="Times New Roman" w:eastAsia="Calibri" w:hAnsi="Times New Roman" w:cs="Times New Roman"/>
          <w:szCs w:val="24"/>
        </w:rPr>
        <w:t xml:space="preserve"> department is authorized to communicate to any applicant for a graduate or teaching assistantship that an award will be made.  A department is authorized to communicate that they are recommending a student for appointment as a GA, GRA, GA/I, or TA.  The college of graduate studies supports the “April 15</w:t>
      </w:r>
      <w:r w:rsidRPr="0029498D">
        <w:rPr>
          <w:rFonts w:ascii="Times New Roman" w:eastAsia="Calibri" w:hAnsi="Times New Roman" w:cs="Times New Roman"/>
          <w:szCs w:val="24"/>
          <w:vertAlign w:val="superscript"/>
        </w:rPr>
        <w:t>th</w:t>
      </w:r>
      <w:r w:rsidRPr="0029498D">
        <w:rPr>
          <w:rFonts w:ascii="Times New Roman" w:eastAsia="Calibri" w:hAnsi="Times New Roman" w:cs="Times New Roman"/>
          <w:szCs w:val="24"/>
        </w:rPr>
        <w:t xml:space="preserve"> Resolution” regarding graduate scholars, fellows, trainees and assistants of the council of graduate schools (“CGS”).  Appointments and communications regarding appointments will adhere to said resolution as described on the </w:t>
      </w:r>
      <w:hyperlink r:id="rId10" w:history="1">
        <w:r w:rsidRPr="0029498D">
          <w:rPr>
            <w:rStyle w:val="Hyperlink"/>
            <w:rFonts w:ascii="Times New Roman" w:eastAsia="Calibri" w:hAnsi="Times New Roman" w:cs="Times New Roman"/>
            <w:szCs w:val="24"/>
            <w:u w:val="none"/>
          </w:rPr>
          <w:t>CGS webpage</w:t>
        </w:r>
      </w:hyperlink>
      <w:r w:rsidRPr="0029498D">
        <w:rPr>
          <w:rFonts w:ascii="Times New Roman" w:eastAsia="Calibri" w:hAnsi="Times New Roman" w:cs="Times New Roman"/>
          <w:szCs w:val="24"/>
        </w:rPr>
        <w:t>.</w:t>
      </w:r>
    </w:p>
    <w:p w14:paraId="22D06B90"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30BB3FAA" w14:textId="38427C24"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(4)</w:t>
      </w:r>
      <w:r w:rsidRPr="0029498D">
        <w:rPr>
          <w:rFonts w:ascii="Times New Roman" w:eastAsia="Calibri" w:hAnsi="Times New Roman" w:cs="Times New Roman"/>
          <w:szCs w:val="24"/>
        </w:rPr>
        <w:tab/>
        <w:t>Appointment as a GA, GRA, GA/I, or TA will normally occur for the fall or spring semester and be made prior to the beginning of the fall semester.  Graduate research assistant appointments may begin in the summer term</w:t>
      </w:r>
      <w:r w:rsidR="00B30D2D" w:rsidRPr="0029498D">
        <w:rPr>
          <w:rFonts w:ascii="Times New Roman" w:eastAsia="Calibri" w:hAnsi="Times New Roman" w:cs="Times New Roman"/>
          <w:szCs w:val="24"/>
        </w:rPr>
        <w:t xml:space="preserve">.  </w:t>
      </w:r>
      <w:r w:rsidRPr="0029498D">
        <w:rPr>
          <w:rFonts w:ascii="Times New Roman" w:eastAsia="Calibri" w:hAnsi="Times New Roman" w:cs="Times New Roman"/>
          <w:szCs w:val="24"/>
        </w:rPr>
        <w:t>In cases in which an appointment becomes available in the middle of a semester due to the availability of external funding, the stipend will be prorated to accommodate the period of time covered.  Regardless of funding source, the stipend may be prorated to accommodate situations where students fail to begin or complete their assistantship as scheduled</w:t>
      </w:r>
      <w:r w:rsidR="00B30D2D" w:rsidRPr="0029498D">
        <w:rPr>
          <w:rFonts w:ascii="Times New Roman" w:eastAsia="Calibri" w:hAnsi="Times New Roman" w:cs="Times New Roman"/>
          <w:szCs w:val="24"/>
        </w:rPr>
        <w:t>.</w:t>
      </w:r>
      <w:r w:rsidRPr="0029498D">
        <w:rPr>
          <w:rFonts w:ascii="Times New Roman" w:eastAsia="Calibri" w:hAnsi="Times New Roman" w:cs="Times New Roman"/>
          <w:szCs w:val="24"/>
        </w:rPr>
        <w:t xml:space="preserve">  </w:t>
      </w:r>
    </w:p>
    <w:p w14:paraId="1A863A1F"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2A70772D" w14:textId="69A14632"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(5)</w:t>
      </w:r>
      <w:r w:rsidRPr="0029498D">
        <w:rPr>
          <w:rFonts w:ascii="Times New Roman" w:eastAsia="Calibri" w:hAnsi="Times New Roman" w:cs="Times New Roman"/>
          <w:szCs w:val="24"/>
        </w:rPr>
        <w:tab/>
        <w:t xml:space="preserve">Graduate assistants (GA, GRA, GA/I, or TA) shall not hold full-time outside employment.  Additional employment within the university is not permitted without the approval of the </w:t>
      </w:r>
      <w:r w:rsidR="00D72539" w:rsidRPr="0029498D">
        <w:rPr>
          <w:rFonts w:ascii="Times New Roman" w:eastAsia="Calibri" w:hAnsi="Times New Roman" w:cs="Times New Roman"/>
          <w:szCs w:val="24"/>
        </w:rPr>
        <w:t>associate provost</w:t>
      </w:r>
      <w:r w:rsidRPr="0029498D">
        <w:rPr>
          <w:rFonts w:ascii="Times New Roman" w:eastAsia="Calibri" w:hAnsi="Times New Roman" w:cs="Times New Roman"/>
          <w:szCs w:val="24"/>
        </w:rPr>
        <w:t xml:space="preserve">. </w:t>
      </w:r>
    </w:p>
    <w:p w14:paraId="3798D0DD"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7C918E1D" w14:textId="77777777" w:rsidR="0013725C"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(6)</w:t>
      </w:r>
      <w:r w:rsidRPr="0029498D">
        <w:rPr>
          <w:rFonts w:ascii="Times New Roman" w:eastAsia="Calibri" w:hAnsi="Times New Roman" w:cs="Times New Roman"/>
          <w:szCs w:val="24"/>
        </w:rPr>
        <w:tab/>
        <w:t xml:space="preserve">A faculty member within the department to which the graduate assistant is assigned will be designated to be directly responsible for the supervision of the assistant.  A mentor from an academic department who will ensure the appropriate educational experience of the assistantship or internship must be designated.  This applies to GA, GRA, GA/I, and TA positions. </w:t>
      </w:r>
    </w:p>
    <w:p w14:paraId="7705FAF3"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3B792567" w14:textId="77777777" w:rsidR="0013725C" w:rsidRPr="0029498D" w:rsidRDefault="0013725C" w:rsidP="00F11F59">
      <w:pPr>
        <w:spacing w:after="0" w:line="240" w:lineRule="auto"/>
        <w:ind w:left="1440" w:hanging="720"/>
        <w:rPr>
          <w:rFonts w:ascii="Times New Roman" w:eastAsia="Calibri" w:hAnsi="Times New Roman" w:cs="Times New Roman"/>
        </w:rPr>
      </w:pPr>
      <w:r w:rsidRPr="0029498D">
        <w:rPr>
          <w:rFonts w:ascii="Times New Roman" w:eastAsia="Calibri" w:hAnsi="Times New Roman" w:cs="Times New Roman"/>
        </w:rPr>
        <w:lastRenderedPageBreak/>
        <w:t>(7)</w:t>
      </w:r>
      <w:r w:rsidRPr="0029498D">
        <w:tab/>
      </w:r>
      <w:r w:rsidRPr="0029498D">
        <w:rPr>
          <w:rFonts w:ascii="Times New Roman" w:eastAsia="Calibri" w:hAnsi="Times New Roman" w:cs="Times New Roman"/>
        </w:rPr>
        <w:t xml:space="preserve">All teaching assistants must participate in a formal mentoring program in the department of instruction prior to being assigned independent teaching activities in that department.  </w:t>
      </w:r>
    </w:p>
    <w:p w14:paraId="319CB444" w14:textId="77777777" w:rsidR="0013725C" w:rsidRPr="0029498D" w:rsidRDefault="0013725C" w:rsidP="00F11F59">
      <w:pPr>
        <w:spacing w:after="0" w:line="240" w:lineRule="auto"/>
        <w:ind w:left="1440" w:hanging="720"/>
        <w:rPr>
          <w:rFonts w:ascii="Times New Roman" w:eastAsia="Calibri" w:hAnsi="Times New Roman" w:cs="Times New Roman"/>
          <w:szCs w:val="24"/>
        </w:rPr>
      </w:pPr>
    </w:p>
    <w:p w14:paraId="4ED21250" w14:textId="32C8CF46" w:rsidR="00547048" w:rsidRPr="0029498D" w:rsidRDefault="0013725C" w:rsidP="00F11F59">
      <w:pPr>
        <w:spacing w:after="0" w:line="240" w:lineRule="auto"/>
        <w:ind w:left="1440" w:hanging="720"/>
        <w:rPr>
          <w:rFonts w:ascii="Times New Roman" w:eastAsia="Calibri" w:hAnsi="Times New Roman" w:cs="Times New Roman"/>
          <w:szCs w:val="24"/>
        </w:rPr>
      </w:pPr>
      <w:r w:rsidRPr="0029498D">
        <w:rPr>
          <w:rFonts w:ascii="Times New Roman" w:eastAsia="Calibri" w:hAnsi="Times New Roman" w:cs="Times New Roman"/>
          <w:szCs w:val="24"/>
        </w:rPr>
        <w:t>(8)</w:t>
      </w:r>
      <w:r w:rsidRPr="0029498D">
        <w:rPr>
          <w:rFonts w:ascii="Times New Roman" w:eastAsia="Calibri" w:hAnsi="Times New Roman" w:cs="Times New Roman"/>
          <w:szCs w:val="24"/>
        </w:rPr>
        <w:tab/>
        <w:t xml:space="preserve">Additional information about graduate assistants, graduate research assistants, graduate assistant interns, teaching assistants </w:t>
      </w:r>
      <w:r w:rsidR="00C571E5" w:rsidRPr="0029498D">
        <w:rPr>
          <w:rFonts w:ascii="Times New Roman" w:eastAsia="Calibri" w:hAnsi="Times New Roman" w:cs="Times New Roman"/>
          <w:szCs w:val="24"/>
        </w:rPr>
        <w:t xml:space="preserve">may be found in </w:t>
      </w:r>
      <w:r w:rsidRPr="0029498D">
        <w:rPr>
          <w:rFonts w:ascii="Times New Roman" w:eastAsia="Calibri" w:hAnsi="Times New Roman" w:cs="Times New Roman"/>
          <w:szCs w:val="24"/>
        </w:rPr>
        <w:t>the “College of Graduate Studies Policy Book”</w:t>
      </w:r>
      <w:r w:rsidR="00E724FB" w:rsidRPr="0029498D">
        <w:rPr>
          <w:rFonts w:ascii="Times New Roman" w:eastAsia="Calibri" w:hAnsi="Times New Roman" w:cs="Times New Roman"/>
          <w:szCs w:val="24"/>
        </w:rPr>
        <w:t xml:space="preserve"> </w:t>
      </w:r>
      <w:r w:rsidR="000E5E0E" w:rsidRPr="0029498D">
        <w:rPr>
          <w:rFonts w:ascii="Times New Roman" w:eastAsia="Calibri" w:hAnsi="Times New Roman" w:cs="Times New Roman"/>
          <w:szCs w:val="24"/>
        </w:rPr>
        <w:t>o</w:t>
      </w:r>
      <w:r w:rsidR="00E724FB" w:rsidRPr="0029498D">
        <w:rPr>
          <w:rFonts w:ascii="Times New Roman" w:eastAsia="Calibri" w:hAnsi="Times New Roman" w:cs="Times New Roman"/>
          <w:szCs w:val="24"/>
        </w:rPr>
        <w:t>r online at:</w:t>
      </w:r>
      <w:r w:rsidR="00983925" w:rsidRPr="0029498D">
        <w:rPr>
          <w:rFonts w:ascii="Times New Roman" w:eastAsia="Calibri" w:hAnsi="Times New Roman" w:cs="Times New Roman"/>
          <w:szCs w:val="24"/>
        </w:rPr>
        <w:t xml:space="preserve">  </w:t>
      </w:r>
      <w:hyperlink r:id="rId11" w:history="1">
        <w:r w:rsidR="005C3FD4" w:rsidRPr="0029498D">
          <w:rPr>
            <w:rStyle w:val="Hyperlink"/>
            <w:rFonts w:ascii="Times New Roman" w:eastAsia="Calibri" w:hAnsi="Times New Roman" w:cs="Times New Roman"/>
            <w:szCs w:val="24"/>
            <w:u w:val="none"/>
          </w:rPr>
          <w:t>college of graduate studies assistantships and fellowships</w:t>
        </w:r>
      </w:hyperlink>
      <w:r w:rsidR="000E5E0E" w:rsidRPr="0029498D">
        <w:rPr>
          <w:rFonts w:ascii="Times New Roman" w:eastAsia="Calibri" w:hAnsi="Times New Roman" w:cs="Times New Roman"/>
          <w:szCs w:val="24"/>
        </w:rPr>
        <w:t xml:space="preserve"> webpage</w:t>
      </w:r>
      <w:r w:rsidR="005C3FD4" w:rsidRPr="0029498D">
        <w:rPr>
          <w:rFonts w:ascii="Times New Roman" w:eastAsia="Calibri" w:hAnsi="Times New Roman" w:cs="Times New Roman"/>
          <w:szCs w:val="24"/>
        </w:rPr>
        <w:t>.</w:t>
      </w:r>
      <w:r w:rsidR="00E724FB" w:rsidRPr="0029498D">
        <w:rPr>
          <w:rFonts w:ascii="Times New Roman" w:eastAsia="Calibri" w:hAnsi="Times New Roman" w:cs="Times New Roman"/>
          <w:szCs w:val="24"/>
        </w:rPr>
        <w:t xml:space="preserve">  </w:t>
      </w:r>
      <w:r w:rsidRPr="0029498D">
        <w:rPr>
          <w:rFonts w:ascii="Times New Roman" w:eastAsia="Calibri" w:hAnsi="Times New Roman" w:cs="Times New Roman"/>
          <w:szCs w:val="24"/>
        </w:rPr>
        <w:t xml:space="preserve">  </w:t>
      </w:r>
    </w:p>
    <w:p w14:paraId="4AA26D71" w14:textId="77777777" w:rsidR="00996CF1" w:rsidRPr="0029498D" w:rsidRDefault="00996CF1" w:rsidP="00F11F59">
      <w:pPr>
        <w:spacing w:after="0" w:line="240" w:lineRule="auto"/>
        <w:ind w:left="720" w:hanging="720"/>
      </w:pPr>
    </w:p>
    <w:sectPr w:rsidR="00996CF1" w:rsidRPr="0029498D" w:rsidSect="009239C6">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CBF0" w14:textId="77777777" w:rsidR="00EE46A5" w:rsidRDefault="00EE46A5">
      <w:pPr>
        <w:spacing w:after="0" w:line="240" w:lineRule="auto"/>
      </w:pPr>
      <w:r>
        <w:separator/>
      </w:r>
    </w:p>
  </w:endnote>
  <w:endnote w:type="continuationSeparator" w:id="0">
    <w:p w14:paraId="63586D70" w14:textId="77777777" w:rsidR="00EE46A5" w:rsidRDefault="00EE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0276" w14:textId="77777777" w:rsidR="00EE46A5" w:rsidRDefault="00EE46A5">
      <w:pPr>
        <w:spacing w:after="0" w:line="240" w:lineRule="auto"/>
      </w:pPr>
      <w:r>
        <w:separator/>
      </w:r>
    </w:p>
  </w:footnote>
  <w:footnote w:type="continuationSeparator" w:id="0">
    <w:p w14:paraId="3BF185EC" w14:textId="77777777" w:rsidR="00EE46A5" w:rsidRDefault="00EE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BA30" w14:textId="77777777" w:rsidR="001A4360" w:rsidRDefault="00FD1439" w:rsidP="00742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263E1" w14:textId="77777777" w:rsidR="001A4360" w:rsidRDefault="001A4360" w:rsidP="009239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9C5F" w14:textId="77777777" w:rsidR="001A4360" w:rsidRPr="009239C6" w:rsidRDefault="00FD1439" w:rsidP="00742A42">
    <w:pPr>
      <w:pStyle w:val="Header"/>
      <w:framePr w:wrap="around" w:vAnchor="text" w:hAnchor="margin" w:xAlign="right" w:y="1"/>
      <w:rPr>
        <w:rStyle w:val="PageNumber"/>
        <w:rFonts w:ascii="Times New Roman" w:hAnsi="Times New Roman"/>
        <w:szCs w:val="24"/>
      </w:rPr>
    </w:pPr>
    <w:r w:rsidRPr="009239C6">
      <w:rPr>
        <w:rStyle w:val="PageNumber"/>
        <w:rFonts w:ascii="Times New Roman" w:hAnsi="Times New Roman"/>
        <w:szCs w:val="24"/>
      </w:rPr>
      <w:fldChar w:fldCharType="begin"/>
    </w:r>
    <w:r w:rsidRPr="009239C6">
      <w:rPr>
        <w:rStyle w:val="PageNumber"/>
        <w:rFonts w:ascii="Times New Roman" w:hAnsi="Times New Roman"/>
        <w:szCs w:val="24"/>
      </w:rPr>
      <w:instrText xml:space="preserve">PAGE  </w:instrText>
    </w:r>
    <w:r w:rsidRPr="009239C6">
      <w:rPr>
        <w:rStyle w:val="PageNumber"/>
        <w:rFonts w:ascii="Times New Roman" w:hAnsi="Times New Roman"/>
        <w:szCs w:val="24"/>
      </w:rPr>
      <w:fldChar w:fldCharType="separate"/>
    </w:r>
    <w:r w:rsidR="00B30D2D">
      <w:rPr>
        <w:rStyle w:val="PageNumber"/>
        <w:rFonts w:ascii="Times New Roman" w:hAnsi="Times New Roman"/>
        <w:noProof/>
        <w:szCs w:val="24"/>
      </w:rPr>
      <w:t>4</w:t>
    </w:r>
    <w:r w:rsidRPr="009239C6">
      <w:rPr>
        <w:rStyle w:val="PageNumber"/>
        <w:rFonts w:ascii="Times New Roman" w:hAnsi="Times New Roman"/>
        <w:szCs w:val="24"/>
      </w:rPr>
      <w:fldChar w:fldCharType="end"/>
    </w:r>
  </w:p>
  <w:p w14:paraId="7286CAAA" w14:textId="77777777" w:rsidR="001A4360" w:rsidRPr="009239C6" w:rsidRDefault="00FD1439" w:rsidP="009239C6">
    <w:pPr>
      <w:pStyle w:val="Header"/>
      <w:ind w:right="360"/>
      <w:rPr>
        <w:rFonts w:ascii="Times New Roman" w:hAnsi="Times New Roman"/>
        <w:szCs w:val="24"/>
      </w:rPr>
    </w:pPr>
    <w:r>
      <w:rPr>
        <w:rFonts w:ascii="Times New Roman" w:hAnsi="Times New Roman"/>
        <w:szCs w:val="24"/>
      </w:rPr>
      <w:t>3356-</w:t>
    </w:r>
    <w:r w:rsidRPr="009239C6">
      <w:rPr>
        <w:rFonts w:ascii="Times New Roman" w:hAnsi="Times New Roman"/>
        <w:szCs w:val="24"/>
      </w:rPr>
      <w:t>9-0</w:t>
    </w:r>
    <w:r>
      <w:rPr>
        <w:rFonts w:ascii="Times New Roman" w:hAnsi="Times New Roman"/>
        <w:szCs w:val="24"/>
      </w:rPr>
      <w:t>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9A"/>
    <w:rsid w:val="00017068"/>
    <w:rsid w:val="0002630C"/>
    <w:rsid w:val="00040623"/>
    <w:rsid w:val="00042FC5"/>
    <w:rsid w:val="00043860"/>
    <w:rsid w:val="0004505A"/>
    <w:rsid w:val="000A4FB6"/>
    <w:rsid w:val="000C67AC"/>
    <w:rsid w:val="000D7220"/>
    <w:rsid w:val="000E5E0E"/>
    <w:rsid w:val="000F07E1"/>
    <w:rsid w:val="000F09D1"/>
    <w:rsid w:val="0010535C"/>
    <w:rsid w:val="0013725C"/>
    <w:rsid w:val="00157F78"/>
    <w:rsid w:val="00174BF8"/>
    <w:rsid w:val="00191C6C"/>
    <w:rsid w:val="00191F87"/>
    <w:rsid w:val="001921AD"/>
    <w:rsid w:val="00195873"/>
    <w:rsid w:val="001A4360"/>
    <w:rsid w:val="001B56D5"/>
    <w:rsid w:val="001E2B16"/>
    <w:rsid w:val="0020672F"/>
    <w:rsid w:val="00241953"/>
    <w:rsid w:val="002901E1"/>
    <w:rsid w:val="00292B6C"/>
    <w:rsid w:val="0029498D"/>
    <w:rsid w:val="002D1985"/>
    <w:rsid w:val="003248A9"/>
    <w:rsid w:val="0032691F"/>
    <w:rsid w:val="00345CE5"/>
    <w:rsid w:val="00350C86"/>
    <w:rsid w:val="003A0F91"/>
    <w:rsid w:val="003D619D"/>
    <w:rsid w:val="0041540E"/>
    <w:rsid w:val="004425C6"/>
    <w:rsid w:val="00450AC9"/>
    <w:rsid w:val="004716A0"/>
    <w:rsid w:val="00473942"/>
    <w:rsid w:val="00476CD6"/>
    <w:rsid w:val="004A19C5"/>
    <w:rsid w:val="004B4E6E"/>
    <w:rsid w:val="004C09DE"/>
    <w:rsid w:val="004C6A6D"/>
    <w:rsid w:val="004D2780"/>
    <w:rsid w:val="004E1F89"/>
    <w:rsid w:val="00537AEB"/>
    <w:rsid w:val="00547048"/>
    <w:rsid w:val="00551726"/>
    <w:rsid w:val="005519D7"/>
    <w:rsid w:val="00565281"/>
    <w:rsid w:val="00597AE8"/>
    <w:rsid w:val="005A7674"/>
    <w:rsid w:val="005B2297"/>
    <w:rsid w:val="005C3FD4"/>
    <w:rsid w:val="005C6B48"/>
    <w:rsid w:val="005D5FCB"/>
    <w:rsid w:val="006140B7"/>
    <w:rsid w:val="00620D93"/>
    <w:rsid w:val="006309A1"/>
    <w:rsid w:val="006535FF"/>
    <w:rsid w:val="00672302"/>
    <w:rsid w:val="00673D4F"/>
    <w:rsid w:val="006834BD"/>
    <w:rsid w:val="00683614"/>
    <w:rsid w:val="006873D1"/>
    <w:rsid w:val="006A3529"/>
    <w:rsid w:val="006C4BBF"/>
    <w:rsid w:val="006D0F80"/>
    <w:rsid w:val="00704D46"/>
    <w:rsid w:val="0070726C"/>
    <w:rsid w:val="00725663"/>
    <w:rsid w:val="00770020"/>
    <w:rsid w:val="00771A7A"/>
    <w:rsid w:val="00790986"/>
    <w:rsid w:val="007C6B89"/>
    <w:rsid w:val="007E763E"/>
    <w:rsid w:val="00853836"/>
    <w:rsid w:val="00872033"/>
    <w:rsid w:val="00873039"/>
    <w:rsid w:val="00873956"/>
    <w:rsid w:val="00897843"/>
    <w:rsid w:val="008B6196"/>
    <w:rsid w:val="008D56BA"/>
    <w:rsid w:val="00926D10"/>
    <w:rsid w:val="00977848"/>
    <w:rsid w:val="00983925"/>
    <w:rsid w:val="00995270"/>
    <w:rsid w:val="00996CF1"/>
    <w:rsid w:val="00997C57"/>
    <w:rsid w:val="009B349A"/>
    <w:rsid w:val="009B7FDB"/>
    <w:rsid w:val="009E73EE"/>
    <w:rsid w:val="009F5391"/>
    <w:rsid w:val="00A0408F"/>
    <w:rsid w:val="00AB5646"/>
    <w:rsid w:val="00AB580D"/>
    <w:rsid w:val="00AD63A3"/>
    <w:rsid w:val="00AE2D7D"/>
    <w:rsid w:val="00AE589E"/>
    <w:rsid w:val="00B30D2D"/>
    <w:rsid w:val="00B31D93"/>
    <w:rsid w:val="00B52725"/>
    <w:rsid w:val="00B53DFD"/>
    <w:rsid w:val="00B97FBF"/>
    <w:rsid w:val="00BC469F"/>
    <w:rsid w:val="00BC49B6"/>
    <w:rsid w:val="00BD6A22"/>
    <w:rsid w:val="00C20DE0"/>
    <w:rsid w:val="00C571E5"/>
    <w:rsid w:val="00C74755"/>
    <w:rsid w:val="00CA6381"/>
    <w:rsid w:val="00CD1EE9"/>
    <w:rsid w:val="00CD6969"/>
    <w:rsid w:val="00D3444F"/>
    <w:rsid w:val="00D404E0"/>
    <w:rsid w:val="00D72539"/>
    <w:rsid w:val="00D845BE"/>
    <w:rsid w:val="00D8676E"/>
    <w:rsid w:val="00D87FEF"/>
    <w:rsid w:val="00DA5434"/>
    <w:rsid w:val="00DC5092"/>
    <w:rsid w:val="00DF0F6E"/>
    <w:rsid w:val="00DF47EF"/>
    <w:rsid w:val="00E2039A"/>
    <w:rsid w:val="00E27315"/>
    <w:rsid w:val="00E36424"/>
    <w:rsid w:val="00E40458"/>
    <w:rsid w:val="00E42E28"/>
    <w:rsid w:val="00E5535F"/>
    <w:rsid w:val="00E724FB"/>
    <w:rsid w:val="00EC0D4C"/>
    <w:rsid w:val="00EE46A5"/>
    <w:rsid w:val="00F0083C"/>
    <w:rsid w:val="00F00D87"/>
    <w:rsid w:val="00F11F59"/>
    <w:rsid w:val="00F12499"/>
    <w:rsid w:val="00F20567"/>
    <w:rsid w:val="00F24FBC"/>
    <w:rsid w:val="00F25554"/>
    <w:rsid w:val="00F4107F"/>
    <w:rsid w:val="00F41436"/>
    <w:rsid w:val="00F43502"/>
    <w:rsid w:val="00F95701"/>
    <w:rsid w:val="00FD1439"/>
    <w:rsid w:val="00FD22AF"/>
    <w:rsid w:val="3CFA2F99"/>
    <w:rsid w:val="6955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FB9E"/>
  <w15:docId w15:val="{8A63620E-7234-4222-ADE4-A0A0F775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3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9A"/>
  </w:style>
  <w:style w:type="character" w:styleId="PageNumber">
    <w:name w:val="page number"/>
    <w:basedOn w:val="DefaultParagraphFont"/>
    <w:uiPriority w:val="99"/>
    <w:rsid w:val="00E2039A"/>
    <w:rPr>
      <w:rFonts w:cs="Times New Roman"/>
    </w:rPr>
  </w:style>
  <w:style w:type="character" w:styleId="Hyperlink">
    <w:name w:val="Hyperlink"/>
    <w:basedOn w:val="DefaultParagraphFont"/>
    <w:uiPriority w:val="99"/>
    <w:unhideWhenUsed/>
    <w:rsid w:val="00E36424"/>
    <w:rPr>
      <w:color w:val="0000FF" w:themeColor="hyperlink"/>
      <w:u w:val="single"/>
    </w:rPr>
  </w:style>
  <w:style w:type="paragraph" w:styleId="BalloonText">
    <w:name w:val="Balloon Text"/>
    <w:basedOn w:val="Normal"/>
    <w:link w:val="BalloonTextChar"/>
    <w:uiPriority w:val="99"/>
    <w:semiHidden/>
    <w:unhideWhenUsed/>
    <w:rsid w:val="00F4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436"/>
    <w:rPr>
      <w:rFonts w:ascii="Tahoma" w:hAnsi="Tahoma" w:cs="Tahoma"/>
      <w:sz w:val="16"/>
      <w:szCs w:val="16"/>
    </w:rPr>
  </w:style>
  <w:style w:type="character" w:styleId="FollowedHyperlink">
    <w:name w:val="FollowedHyperlink"/>
    <w:basedOn w:val="DefaultParagraphFont"/>
    <w:uiPriority w:val="99"/>
    <w:semiHidden/>
    <w:unhideWhenUsed/>
    <w:rsid w:val="0013725C"/>
    <w:rPr>
      <w:color w:val="800080" w:themeColor="followedHyperlink"/>
      <w:u w:val="single"/>
    </w:rPr>
  </w:style>
  <w:style w:type="paragraph" w:styleId="Revision">
    <w:name w:val="Revision"/>
    <w:hidden/>
    <w:uiPriority w:val="99"/>
    <w:semiHidden/>
    <w:rsid w:val="004425C6"/>
    <w:pPr>
      <w:spacing w:after="0" w:line="240" w:lineRule="auto"/>
    </w:pPr>
  </w:style>
  <w:style w:type="character" w:styleId="UnresolvedMention">
    <w:name w:val="Unresolved Mention"/>
    <w:basedOn w:val="DefaultParagraphFont"/>
    <w:uiPriority w:val="99"/>
    <w:semiHidden/>
    <w:unhideWhenUsed/>
    <w:rsid w:val="005470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su.edu/academics/college-graduate-studies/assistantships-and-fellowshi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gsnet.org/april-15-resolu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CEE558F9EDA43950C25DAC7917BA8" ma:contentTypeVersion="13" ma:contentTypeDescription="Create a new document." ma:contentTypeScope="" ma:versionID="01210f61d35c23c43e3a5b7973d1cc6d">
  <xsd:schema xmlns:xsd="http://www.w3.org/2001/XMLSchema" xmlns:xs="http://www.w3.org/2001/XMLSchema" xmlns:p="http://schemas.microsoft.com/office/2006/metadata/properties" xmlns:ns2="413f273b-7511-40a5-8613-3e45c0d427bd" xmlns:ns3="4ab9d54d-7512-4dfb-9313-d594a04b4593" targetNamespace="http://schemas.microsoft.com/office/2006/metadata/properties" ma:root="true" ma:fieldsID="c46e772fd99cbd743d1dec77d477da45" ns2:_="" ns3:_="">
    <xsd:import namespace="413f273b-7511-40a5-8613-3e45c0d427bd"/>
    <xsd:import namespace="4ab9d54d-7512-4dfb-9313-d594a04b4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f273b-7511-40a5-8613-3e45c0d42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9d54d-7512-4dfb-9313-d594a04b4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8928b0-c9e7-4f3e-ace4-f9e5d5b6de50}" ma:internalName="TaxCatchAll" ma:showField="CatchAllData" ma:web="4ab9d54d-7512-4dfb-9313-d594a04b4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3f273b-7511-40a5-8613-3e45c0d427bd">
      <Terms xmlns="http://schemas.microsoft.com/office/infopath/2007/PartnerControls"/>
    </lcf76f155ced4ddcb4097134ff3c332f>
    <TaxCatchAll xmlns="4ab9d54d-7512-4dfb-9313-d594a04b4593" xsi:nil="true"/>
  </documentManagement>
</p:properties>
</file>

<file path=customXml/itemProps1.xml><?xml version="1.0" encoding="utf-8"?>
<ds:datastoreItem xmlns:ds="http://schemas.openxmlformats.org/officeDocument/2006/customXml" ds:itemID="{2200A080-9FA0-4CCD-A096-52093BC2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f273b-7511-40a5-8613-3e45c0d427bd"/>
    <ds:schemaRef ds:uri="4ab9d54d-7512-4dfb-9313-d594a04b4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00194-E051-4156-A973-BADE8229EDC3}">
  <ds:schemaRefs>
    <ds:schemaRef ds:uri="http://schemas.openxmlformats.org/officeDocument/2006/bibliography"/>
  </ds:schemaRefs>
</ds:datastoreItem>
</file>

<file path=customXml/itemProps3.xml><?xml version="1.0" encoding="utf-8"?>
<ds:datastoreItem xmlns:ds="http://schemas.openxmlformats.org/officeDocument/2006/customXml" ds:itemID="{B7DFDC9A-35A5-468F-B790-B838DBE9E776}">
  <ds:schemaRefs>
    <ds:schemaRef ds:uri="http://schemas.microsoft.com/sharepoint/v3/contenttype/forms"/>
  </ds:schemaRefs>
</ds:datastoreItem>
</file>

<file path=customXml/itemProps4.xml><?xml version="1.0" encoding="utf-8"?>
<ds:datastoreItem xmlns:ds="http://schemas.openxmlformats.org/officeDocument/2006/customXml" ds:itemID="{832E3241-870F-4CFB-8870-A5C3151C625B}">
  <ds:schemaRefs>
    <ds:schemaRef ds:uri="http://schemas.microsoft.com/office/2006/metadata/properties"/>
    <ds:schemaRef ds:uri="http://schemas.microsoft.com/office/infopath/2007/PartnerControls"/>
    <ds:schemaRef ds:uri="413f273b-7511-40a5-8613-3e45c0d427bd"/>
    <ds:schemaRef ds:uri="4ab9d54d-7512-4dfb-9313-d594a04b45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5645</Characters>
  <Application>Microsoft Office Word</Application>
  <DocSecurity>0</DocSecurity>
  <Lines>47</Lines>
  <Paragraphs>13</Paragraphs>
  <ScaleCrop>false</ScaleCrop>
  <Company>Youngstown State University</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cp:lastPrinted>2025-01-28T15:13:00Z</cp:lastPrinted>
  <dcterms:created xsi:type="dcterms:W3CDTF">2025-01-28T17:58:00Z</dcterms:created>
  <dcterms:modified xsi:type="dcterms:W3CDTF">2025-03-17T15:12:00Z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0x01010059BCEE558F9EDA43950C25DAC7917BA8</vt:lpwstr>
  </property>
  <property fmtid="{D5CDD505-2E9C-101B-9397-08002B2CF9AE}" pid="3" name="MediaServiceImageTags">
    <vt:lpwstr/>
  </property>
</Properties>
</file>