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129C" w14:textId="77777777" w:rsidR="009432FA" w:rsidRPr="009432FA" w:rsidRDefault="009432FA" w:rsidP="009432FA">
      <w:pPr>
        <w:rPr>
          <w:rFonts w:eastAsia="Calibri"/>
          <w:b/>
          <w:szCs w:val="22"/>
        </w:rPr>
      </w:pPr>
      <w:r w:rsidRPr="009432FA">
        <w:rPr>
          <w:rFonts w:eastAsia="Calibri"/>
          <w:b/>
          <w:szCs w:val="22"/>
        </w:rPr>
        <w:t>3356-</w:t>
      </w:r>
      <w:r>
        <w:rPr>
          <w:rFonts w:eastAsia="Calibri"/>
          <w:b/>
          <w:szCs w:val="22"/>
        </w:rPr>
        <w:t>4</w:t>
      </w:r>
      <w:r w:rsidRPr="009432FA">
        <w:rPr>
          <w:rFonts w:eastAsia="Calibri"/>
          <w:b/>
          <w:szCs w:val="22"/>
        </w:rPr>
        <w:t>-0</w:t>
      </w:r>
      <w:r>
        <w:rPr>
          <w:rFonts w:eastAsia="Calibri"/>
          <w:b/>
          <w:szCs w:val="22"/>
        </w:rPr>
        <w:t>2</w:t>
      </w:r>
      <w:r w:rsidRPr="009432FA">
        <w:rPr>
          <w:rFonts w:eastAsia="Calibri"/>
          <w:b/>
          <w:szCs w:val="22"/>
        </w:rPr>
        <w:tab/>
      </w:r>
      <w:r>
        <w:rPr>
          <w:rFonts w:eastAsia="Calibri"/>
          <w:b/>
          <w:szCs w:val="22"/>
        </w:rPr>
        <w:t>Surplus property</w:t>
      </w:r>
      <w:r w:rsidRPr="009432FA">
        <w:rPr>
          <w:rFonts w:eastAsia="Calibri"/>
          <w:b/>
          <w:szCs w:val="22"/>
        </w:rPr>
        <w:t>.</w:t>
      </w:r>
    </w:p>
    <w:p w14:paraId="41E89801" w14:textId="77777777" w:rsidR="009432FA" w:rsidRPr="009432FA" w:rsidRDefault="009432FA" w:rsidP="009432FA">
      <w:pPr>
        <w:tabs>
          <w:tab w:val="left" w:pos="7200"/>
        </w:tabs>
        <w:spacing w:line="276" w:lineRule="auto"/>
        <w:rPr>
          <w:szCs w:val="24"/>
        </w:rPr>
      </w:pPr>
    </w:p>
    <w:p w14:paraId="131C3416" w14:textId="77777777" w:rsidR="009432FA" w:rsidRPr="009432FA" w:rsidRDefault="009432FA" w:rsidP="009432FA">
      <w:pPr>
        <w:tabs>
          <w:tab w:val="left" w:pos="3060"/>
          <w:tab w:val="left" w:pos="7200"/>
        </w:tabs>
        <w:spacing w:line="276" w:lineRule="auto"/>
        <w:rPr>
          <w:szCs w:val="24"/>
        </w:rPr>
      </w:pPr>
      <w:r w:rsidRPr="009432FA">
        <w:rPr>
          <w:szCs w:val="24"/>
        </w:rPr>
        <w:t xml:space="preserve">Responsible </w:t>
      </w:r>
      <w:r w:rsidR="002651E0">
        <w:rPr>
          <w:szCs w:val="24"/>
        </w:rPr>
        <w:t>Division/</w:t>
      </w:r>
      <w:r w:rsidRPr="009432FA">
        <w:rPr>
          <w:szCs w:val="24"/>
        </w:rPr>
        <w:t>Office:</w:t>
      </w:r>
      <w:r w:rsidRPr="009432FA">
        <w:rPr>
          <w:szCs w:val="24"/>
        </w:rPr>
        <w:tab/>
      </w:r>
      <w:r w:rsidR="00F449AC">
        <w:rPr>
          <w:szCs w:val="24"/>
        </w:rPr>
        <w:t>Finance and Business Operations</w:t>
      </w:r>
      <w:r w:rsidRPr="009432FA">
        <w:rPr>
          <w:szCs w:val="24"/>
        </w:rPr>
        <w:tab/>
      </w:r>
    </w:p>
    <w:p w14:paraId="3C06DBAD" w14:textId="77777777" w:rsidR="009432FA" w:rsidRPr="009432FA" w:rsidRDefault="009432FA" w:rsidP="009432FA">
      <w:pPr>
        <w:tabs>
          <w:tab w:val="left" w:pos="3060"/>
          <w:tab w:val="left" w:pos="7200"/>
        </w:tabs>
        <w:spacing w:line="276" w:lineRule="auto"/>
        <w:rPr>
          <w:szCs w:val="24"/>
        </w:rPr>
      </w:pPr>
      <w:r w:rsidRPr="009432FA">
        <w:rPr>
          <w:szCs w:val="24"/>
        </w:rPr>
        <w:t>Responsible Officer:</w:t>
      </w:r>
      <w:r w:rsidRPr="009432FA">
        <w:rPr>
          <w:szCs w:val="24"/>
        </w:rPr>
        <w:tab/>
      </w:r>
      <w:r>
        <w:rPr>
          <w:szCs w:val="24"/>
        </w:rPr>
        <w:t xml:space="preserve">VP for Finance and </w:t>
      </w:r>
      <w:r w:rsidR="00F449AC">
        <w:rPr>
          <w:szCs w:val="24"/>
        </w:rPr>
        <w:t>Business Operations</w:t>
      </w:r>
    </w:p>
    <w:p w14:paraId="6E2651B7" w14:textId="77777777" w:rsidR="00F449AC" w:rsidRDefault="009432FA" w:rsidP="009432FA">
      <w:pPr>
        <w:tabs>
          <w:tab w:val="left" w:pos="3060"/>
          <w:tab w:val="left" w:pos="7200"/>
        </w:tabs>
        <w:spacing w:line="276" w:lineRule="auto"/>
        <w:rPr>
          <w:szCs w:val="24"/>
        </w:rPr>
      </w:pPr>
      <w:r w:rsidRPr="009432FA">
        <w:rPr>
          <w:szCs w:val="24"/>
        </w:rPr>
        <w:t>Revision History:</w:t>
      </w:r>
      <w:r w:rsidRPr="009432FA">
        <w:rPr>
          <w:szCs w:val="24"/>
        </w:rPr>
        <w:tab/>
      </w:r>
      <w:r>
        <w:rPr>
          <w:szCs w:val="24"/>
        </w:rPr>
        <w:t>August 1997; June 2010</w:t>
      </w:r>
      <w:r w:rsidR="004D047B">
        <w:rPr>
          <w:szCs w:val="24"/>
        </w:rPr>
        <w:t>; March 2015</w:t>
      </w:r>
      <w:r w:rsidR="00F449AC">
        <w:rPr>
          <w:szCs w:val="24"/>
        </w:rPr>
        <w:t xml:space="preserve">; </w:t>
      </w:r>
    </w:p>
    <w:p w14:paraId="4F19B977" w14:textId="77777777" w:rsidR="009432FA" w:rsidRPr="009432FA" w:rsidRDefault="00F449AC" w:rsidP="009432FA">
      <w:pPr>
        <w:tabs>
          <w:tab w:val="left" w:pos="3060"/>
          <w:tab w:val="left" w:pos="7200"/>
        </w:tabs>
        <w:spacing w:line="276" w:lineRule="auto"/>
        <w:rPr>
          <w:szCs w:val="24"/>
        </w:rPr>
      </w:pPr>
      <w:r>
        <w:rPr>
          <w:szCs w:val="24"/>
        </w:rPr>
        <w:tab/>
        <w:t>March 2020</w:t>
      </w:r>
      <w:r w:rsidR="001B4564">
        <w:rPr>
          <w:szCs w:val="24"/>
        </w:rPr>
        <w:t>; March 2025</w:t>
      </w:r>
    </w:p>
    <w:p w14:paraId="28ECD7EF" w14:textId="77777777" w:rsidR="009432FA" w:rsidRPr="009432FA" w:rsidRDefault="009432FA" w:rsidP="009432FA">
      <w:pPr>
        <w:tabs>
          <w:tab w:val="left" w:pos="3060"/>
          <w:tab w:val="left" w:pos="7200"/>
        </w:tabs>
        <w:spacing w:line="276" w:lineRule="auto"/>
        <w:rPr>
          <w:szCs w:val="24"/>
        </w:rPr>
      </w:pPr>
      <w:r w:rsidRPr="009432FA">
        <w:rPr>
          <w:szCs w:val="24"/>
        </w:rPr>
        <w:t>Board Committee:</w:t>
      </w:r>
      <w:r w:rsidRPr="009432FA">
        <w:rPr>
          <w:szCs w:val="24"/>
        </w:rPr>
        <w:tab/>
      </w:r>
      <w:r>
        <w:rPr>
          <w:szCs w:val="24"/>
        </w:rPr>
        <w:t>Finance and Facilities</w:t>
      </w:r>
    </w:p>
    <w:p w14:paraId="2124AD2A" w14:textId="77777777" w:rsidR="009432FA" w:rsidRPr="008E74DF" w:rsidRDefault="002651E0" w:rsidP="009432FA">
      <w:pPr>
        <w:tabs>
          <w:tab w:val="left" w:pos="3060"/>
          <w:tab w:val="left" w:pos="7200"/>
        </w:tabs>
        <w:spacing w:line="276" w:lineRule="auto"/>
        <w:rPr>
          <w:b/>
          <w:bCs/>
          <w:szCs w:val="24"/>
        </w:rPr>
      </w:pPr>
      <w:r w:rsidRPr="008E74DF">
        <w:rPr>
          <w:b/>
          <w:bCs/>
          <w:szCs w:val="24"/>
        </w:rPr>
        <w:t xml:space="preserve">Effective </w:t>
      </w:r>
      <w:r w:rsidR="009432FA" w:rsidRPr="008E74DF">
        <w:rPr>
          <w:b/>
          <w:bCs/>
          <w:szCs w:val="24"/>
        </w:rPr>
        <w:t>Date:</w:t>
      </w:r>
      <w:r w:rsidR="009432FA" w:rsidRPr="00F449AC">
        <w:rPr>
          <w:szCs w:val="24"/>
        </w:rPr>
        <w:tab/>
      </w:r>
      <w:r w:rsidR="001B4564">
        <w:rPr>
          <w:b/>
          <w:bCs/>
          <w:szCs w:val="24"/>
        </w:rPr>
        <w:t>March 13, 2025</w:t>
      </w:r>
    </w:p>
    <w:p w14:paraId="1713E6B9" w14:textId="77777777" w:rsidR="009432FA" w:rsidRPr="009432FA" w:rsidRDefault="009432FA" w:rsidP="009432FA">
      <w:pPr>
        <w:tabs>
          <w:tab w:val="left" w:pos="3060"/>
          <w:tab w:val="left" w:pos="7200"/>
        </w:tabs>
        <w:spacing w:line="276" w:lineRule="auto"/>
        <w:rPr>
          <w:szCs w:val="24"/>
        </w:rPr>
      </w:pPr>
      <w:r w:rsidRPr="009432FA">
        <w:rPr>
          <w:szCs w:val="24"/>
        </w:rPr>
        <w:t>Next Review:</w:t>
      </w:r>
      <w:r w:rsidRPr="009432FA">
        <w:rPr>
          <w:szCs w:val="24"/>
        </w:rPr>
        <w:tab/>
      </w:r>
      <w:r w:rsidR="001B4564">
        <w:rPr>
          <w:szCs w:val="24"/>
        </w:rPr>
        <w:t>2030</w:t>
      </w:r>
    </w:p>
    <w:p w14:paraId="7186FF1A" w14:textId="77777777" w:rsidR="009432FA" w:rsidRPr="009432FA" w:rsidRDefault="009432FA" w:rsidP="009432FA">
      <w:pPr>
        <w:tabs>
          <w:tab w:val="left" w:pos="3060"/>
          <w:tab w:val="left" w:pos="7920"/>
        </w:tabs>
        <w:rPr>
          <w:b/>
          <w:szCs w:val="24"/>
          <w:u w:val="single"/>
        </w:rPr>
      </w:pPr>
      <w:r w:rsidRPr="009432FA">
        <w:rPr>
          <w:b/>
          <w:szCs w:val="24"/>
          <w:u w:val="single"/>
        </w:rPr>
        <w:tab/>
      </w:r>
      <w:r w:rsidRPr="009432FA">
        <w:rPr>
          <w:b/>
          <w:szCs w:val="24"/>
          <w:u w:val="single"/>
        </w:rPr>
        <w:tab/>
      </w:r>
    </w:p>
    <w:p w14:paraId="62F5759D" w14:textId="77777777" w:rsidR="009432FA" w:rsidRPr="009432FA" w:rsidRDefault="009432FA" w:rsidP="009432FA">
      <w:pPr>
        <w:rPr>
          <w:b/>
          <w:szCs w:val="24"/>
        </w:rPr>
      </w:pPr>
    </w:p>
    <w:p w14:paraId="7DADFAE6" w14:textId="77777777" w:rsidR="009432FA" w:rsidRPr="009432FA" w:rsidRDefault="009432FA" w:rsidP="009432FA">
      <w:pPr>
        <w:ind w:left="720" w:hanging="720"/>
        <w:rPr>
          <w:rFonts w:eastAsia="Calibri"/>
          <w:szCs w:val="22"/>
        </w:rPr>
      </w:pPr>
      <w:r w:rsidRPr="009432FA">
        <w:rPr>
          <w:rFonts w:eastAsia="Calibri"/>
          <w:szCs w:val="22"/>
        </w:rPr>
        <w:t>(A)</w:t>
      </w:r>
      <w:r w:rsidRPr="009432FA">
        <w:rPr>
          <w:rFonts w:eastAsia="Calibri"/>
          <w:szCs w:val="22"/>
        </w:rPr>
        <w:tab/>
        <w:t>Policy statement.</w:t>
      </w:r>
      <w:r>
        <w:rPr>
          <w:rFonts w:eastAsia="Calibri"/>
          <w:szCs w:val="22"/>
        </w:rPr>
        <w:t xml:space="preserve">  Property such as equipment or furnishings which is no longer needed may be declared and disposed of in the best interest of the university.</w:t>
      </w:r>
      <w:r w:rsidRPr="009432FA">
        <w:rPr>
          <w:rFonts w:eastAsia="Calibri"/>
          <w:szCs w:val="22"/>
        </w:rPr>
        <w:t xml:space="preserve">    </w:t>
      </w:r>
    </w:p>
    <w:p w14:paraId="167F34DB" w14:textId="77777777" w:rsidR="009432FA" w:rsidRPr="009432FA" w:rsidRDefault="009432FA" w:rsidP="009432FA">
      <w:pPr>
        <w:ind w:left="720" w:hanging="720"/>
        <w:rPr>
          <w:rFonts w:eastAsia="Calibri"/>
          <w:szCs w:val="22"/>
        </w:rPr>
      </w:pPr>
    </w:p>
    <w:p w14:paraId="291B6D3B" w14:textId="77777777" w:rsidR="009432FA" w:rsidRPr="009432FA" w:rsidRDefault="009432FA" w:rsidP="009432FA">
      <w:pPr>
        <w:ind w:left="720" w:hanging="720"/>
        <w:rPr>
          <w:rFonts w:eastAsia="Calibri"/>
          <w:szCs w:val="22"/>
        </w:rPr>
      </w:pPr>
      <w:r w:rsidRPr="009432FA">
        <w:rPr>
          <w:rFonts w:eastAsia="Calibri"/>
          <w:szCs w:val="22"/>
        </w:rPr>
        <w:t>(B)</w:t>
      </w:r>
      <w:r w:rsidRPr="009432FA">
        <w:rPr>
          <w:rFonts w:eastAsia="Calibri"/>
          <w:szCs w:val="22"/>
        </w:rPr>
        <w:tab/>
      </w:r>
      <w:r>
        <w:rPr>
          <w:rFonts w:eastAsia="Calibri"/>
          <w:szCs w:val="22"/>
        </w:rPr>
        <w:t>Purpose</w:t>
      </w:r>
      <w:r w:rsidRPr="009432FA">
        <w:rPr>
          <w:rFonts w:eastAsia="Calibri"/>
          <w:szCs w:val="22"/>
        </w:rPr>
        <w:t>.</w:t>
      </w:r>
      <w:r>
        <w:rPr>
          <w:rFonts w:eastAsia="Calibri"/>
          <w:szCs w:val="22"/>
        </w:rPr>
        <w:t xml:space="preserve">  To establish procedures for the responsible disposal of surplus property.</w:t>
      </w:r>
      <w:r w:rsidRPr="009432FA">
        <w:rPr>
          <w:rFonts w:eastAsia="Calibri"/>
          <w:szCs w:val="22"/>
        </w:rPr>
        <w:t xml:space="preserve">  </w:t>
      </w:r>
    </w:p>
    <w:p w14:paraId="1C3A48B4" w14:textId="77777777" w:rsidR="009432FA" w:rsidRPr="009432FA" w:rsidRDefault="009432FA" w:rsidP="009432FA">
      <w:pPr>
        <w:ind w:left="720" w:hanging="720"/>
        <w:rPr>
          <w:rFonts w:eastAsia="Calibri"/>
          <w:szCs w:val="22"/>
        </w:rPr>
      </w:pPr>
    </w:p>
    <w:p w14:paraId="0303D3D2" w14:textId="77777777" w:rsidR="009432FA" w:rsidRPr="009432FA" w:rsidRDefault="009432FA" w:rsidP="009432FA">
      <w:pPr>
        <w:ind w:left="720" w:hanging="720"/>
        <w:rPr>
          <w:rFonts w:eastAsia="Calibri"/>
          <w:szCs w:val="22"/>
        </w:rPr>
      </w:pPr>
      <w:r w:rsidRPr="009432FA">
        <w:rPr>
          <w:rFonts w:eastAsia="Calibri"/>
          <w:szCs w:val="22"/>
        </w:rPr>
        <w:t>(</w:t>
      </w:r>
      <w:r>
        <w:rPr>
          <w:rFonts w:eastAsia="Calibri"/>
          <w:szCs w:val="22"/>
        </w:rPr>
        <w:t>C</w:t>
      </w:r>
      <w:r w:rsidRPr="009432FA">
        <w:rPr>
          <w:rFonts w:eastAsia="Calibri"/>
          <w:szCs w:val="22"/>
        </w:rPr>
        <w:t>)</w:t>
      </w:r>
      <w:r w:rsidRPr="009432FA">
        <w:rPr>
          <w:rFonts w:eastAsia="Calibri"/>
          <w:szCs w:val="22"/>
        </w:rPr>
        <w:tab/>
      </w:r>
      <w:r>
        <w:rPr>
          <w:rFonts w:eastAsia="Calibri"/>
          <w:szCs w:val="22"/>
        </w:rPr>
        <w:t>Scope</w:t>
      </w:r>
      <w:r w:rsidRPr="009432FA">
        <w:rPr>
          <w:rFonts w:eastAsia="Calibri"/>
          <w:szCs w:val="22"/>
        </w:rPr>
        <w:t>.</w:t>
      </w:r>
      <w:r>
        <w:rPr>
          <w:rFonts w:eastAsia="Calibri"/>
          <w:szCs w:val="22"/>
        </w:rPr>
        <w:t xml:space="preserve">  This policy is applicable to university-owned assets.</w:t>
      </w:r>
      <w:r w:rsidRPr="009432FA">
        <w:rPr>
          <w:rFonts w:eastAsia="Calibri"/>
          <w:szCs w:val="22"/>
        </w:rPr>
        <w:t xml:space="preserve">  </w:t>
      </w:r>
    </w:p>
    <w:p w14:paraId="44E1DC22" w14:textId="77777777" w:rsidR="009432FA" w:rsidRPr="009432FA" w:rsidRDefault="009432FA" w:rsidP="009432FA">
      <w:pPr>
        <w:ind w:left="720" w:hanging="720"/>
        <w:rPr>
          <w:rFonts w:eastAsia="Calibri"/>
          <w:szCs w:val="22"/>
        </w:rPr>
      </w:pPr>
    </w:p>
    <w:p w14:paraId="27C6CAB7" w14:textId="77777777" w:rsidR="009432FA" w:rsidRPr="009432FA" w:rsidRDefault="009432FA" w:rsidP="009432FA">
      <w:pPr>
        <w:ind w:left="720" w:hanging="720"/>
        <w:rPr>
          <w:rFonts w:eastAsia="Calibri"/>
          <w:szCs w:val="22"/>
        </w:rPr>
      </w:pPr>
      <w:r w:rsidRPr="009432FA">
        <w:rPr>
          <w:rFonts w:eastAsia="Calibri"/>
          <w:szCs w:val="22"/>
        </w:rPr>
        <w:t>(</w:t>
      </w:r>
      <w:r>
        <w:rPr>
          <w:rFonts w:eastAsia="Calibri"/>
          <w:szCs w:val="22"/>
        </w:rPr>
        <w:t>D</w:t>
      </w:r>
      <w:r w:rsidRPr="009432FA">
        <w:rPr>
          <w:rFonts w:eastAsia="Calibri"/>
          <w:szCs w:val="22"/>
        </w:rPr>
        <w:t>)</w:t>
      </w:r>
      <w:r w:rsidRPr="009432FA">
        <w:rPr>
          <w:rFonts w:eastAsia="Calibri"/>
          <w:szCs w:val="22"/>
        </w:rPr>
        <w:tab/>
        <w:t>P</w:t>
      </w:r>
      <w:r>
        <w:rPr>
          <w:rFonts w:eastAsia="Calibri"/>
          <w:szCs w:val="22"/>
        </w:rPr>
        <w:t>arameters</w:t>
      </w:r>
      <w:r w:rsidRPr="009432FA">
        <w:rPr>
          <w:rFonts w:eastAsia="Calibri"/>
          <w:szCs w:val="22"/>
        </w:rPr>
        <w:t>.</w:t>
      </w:r>
      <w:r>
        <w:rPr>
          <w:rFonts w:eastAsia="Calibri"/>
          <w:szCs w:val="22"/>
        </w:rPr>
        <w:t xml:space="preserve">  Proper repurposing or disposal of university-owned assets is permitted in accordance with the following parameters:</w:t>
      </w:r>
    </w:p>
    <w:p w14:paraId="105B881B" w14:textId="77777777" w:rsidR="009432FA" w:rsidRPr="009432FA" w:rsidRDefault="009432FA" w:rsidP="009432FA">
      <w:pPr>
        <w:ind w:left="720" w:hanging="720"/>
        <w:rPr>
          <w:rFonts w:eastAsia="Calibri"/>
          <w:szCs w:val="22"/>
        </w:rPr>
      </w:pPr>
    </w:p>
    <w:p w14:paraId="22811B13" w14:textId="77777777" w:rsidR="009432FA" w:rsidRPr="009432FA" w:rsidRDefault="009432FA" w:rsidP="009432FA">
      <w:pPr>
        <w:ind w:left="1440" w:hanging="720"/>
        <w:rPr>
          <w:rFonts w:eastAsia="Calibri"/>
          <w:szCs w:val="22"/>
        </w:rPr>
      </w:pPr>
      <w:r w:rsidRPr="009432FA">
        <w:rPr>
          <w:rFonts w:eastAsia="Calibri"/>
          <w:szCs w:val="22"/>
        </w:rPr>
        <w:t>(1)</w:t>
      </w:r>
      <w:r w:rsidRPr="009432FA">
        <w:rPr>
          <w:rFonts w:eastAsia="Calibri"/>
          <w:szCs w:val="22"/>
        </w:rPr>
        <w:tab/>
      </w:r>
      <w:r>
        <w:rPr>
          <w:rFonts w:eastAsia="Calibri"/>
          <w:szCs w:val="22"/>
        </w:rPr>
        <w:t xml:space="preserve">The office of </w:t>
      </w:r>
      <w:r w:rsidR="004800C2">
        <w:rPr>
          <w:rFonts w:eastAsia="Calibri"/>
          <w:szCs w:val="22"/>
        </w:rPr>
        <w:t xml:space="preserve">facilities maintenance &amp; </w:t>
      </w:r>
      <w:r>
        <w:rPr>
          <w:rFonts w:eastAsia="Calibri"/>
          <w:szCs w:val="22"/>
        </w:rPr>
        <w:t>support services has the responsibility of controlling surplus university property and facilitating its disposition.</w:t>
      </w:r>
    </w:p>
    <w:p w14:paraId="4DF86245" w14:textId="77777777" w:rsidR="009432FA" w:rsidRPr="009432FA" w:rsidRDefault="009432FA" w:rsidP="009432FA">
      <w:pPr>
        <w:ind w:left="1440" w:hanging="720"/>
        <w:rPr>
          <w:rFonts w:eastAsia="Calibri"/>
          <w:szCs w:val="22"/>
        </w:rPr>
      </w:pPr>
    </w:p>
    <w:p w14:paraId="4CDEDE03" w14:textId="77777777" w:rsidR="009432FA" w:rsidRPr="009432FA" w:rsidRDefault="009432FA" w:rsidP="009432FA">
      <w:pPr>
        <w:ind w:left="1440" w:hanging="720"/>
        <w:rPr>
          <w:rFonts w:eastAsia="Calibri"/>
          <w:szCs w:val="22"/>
        </w:rPr>
      </w:pPr>
      <w:r w:rsidRPr="009432FA">
        <w:rPr>
          <w:rFonts w:eastAsia="Calibri"/>
          <w:szCs w:val="22"/>
        </w:rPr>
        <w:t>(2)</w:t>
      </w:r>
      <w:r w:rsidRPr="009432FA">
        <w:rPr>
          <w:rFonts w:eastAsia="Calibri"/>
          <w:szCs w:val="22"/>
        </w:rPr>
        <w:tab/>
      </w:r>
      <w:r>
        <w:rPr>
          <w:rFonts w:eastAsia="Calibri"/>
          <w:szCs w:val="22"/>
        </w:rPr>
        <w:t>All dispositions must be in conformance with federal, state, and local laws and regulations, including applicable grant and/or contr</w:t>
      </w:r>
      <w:r w:rsidR="00D17A6F">
        <w:rPr>
          <w:rFonts w:eastAsia="Calibri"/>
          <w:szCs w:val="22"/>
        </w:rPr>
        <w:t>a</w:t>
      </w:r>
      <w:r>
        <w:rPr>
          <w:rFonts w:eastAsia="Calibri"/>
          <w:szCs w:val="22"/>
        </w:rPr>
        <w:t>ct guidelines.</w:t>
      </w:r>
      <w:r w:rsidRPr="009432FA">
        <w:rPr>
          <w:rFonts w:eastAsia="Calibri"/>
          <w:szCs w:val="22"/>
        </w:rPr>
        <w:t xml:space="preserve"> </w:t>
      </w:r>
    </w:p>
    <w:p w14:paraId="1CF7F6FA" w14:textId="77777777" w:rsidR="009432FA" w:rsidRPr="009432FA" w:rsidRDefault="009432FA" w:rsidP="009432FA">
      <w:pPr>
        <w:ind w:left="1440" w:hanging="720"/>
        <w:rPr>
          <w:rFonts w:eastAsia="Calibri"/>
          <w:szCs w:val="22"/>
        </w:rPr>
      </w:pPr>
    </w:p>
    <w:p w14:paraId="6FCA9F26" w14:textId="77777777" w:rsidR="009432FA" w:rsidRPr="009432FA" w:rsidRDefault="009432FA" w:rsidP="009432FA">
      <w:pPr>
        <w:ind w:left="1440" w:hanging="720"/>
        <w:rPr>
          <w:rFonts w:eastAsia="Calibri"/>
          <w:szCs w:val="22"/>
        </w:rPr>
      </w:pPr>
      <w:r w:rsidRPr="009432FA">
        <w:rPr>
          <w:rFonts w:eastAsia="Calibri"/>
          <w:szCs w:val="22"/>
        </w:rPr>
        <w:t>(3)</w:t>
      </w:r>
      <w:r w:rsidRPr="009432FA">
        <w:rPr>
          <w:rFonts w:eastAsia="Calibri"/>
          <w:szCs w:val="22"/>
        </w:rPr>
        <w:tab/>
      </w:r>
      <w:r>
        <w:rPr>
          <w:rFonts w:eastAsia="Calibri"/>
          <w:szCs w:val="22"/>
        </w:rPr>
        <w:t xml:space="preserve">Only the office of </w:t>
      </w:r>
      <w:r w:rsidR="004800C2">
        <w:rPr>
          <w:rFonts w:eastAsia="Calibri"/>
          <w:szCs w:val="22"/>
        </w:rPr>
        <w:t xml:space="preserve">facilities maintenance &amp; </w:t>
      </w:r>
      <w:r>
        <w:rPr>
          <w:rFonts w:eastAsia="Calibri"/>
          <w:szCs w:val="22"/>
        </w:rPr>
        <w:t>support services is authorized to sell, gift, or dispose of surplus university property, including scrap materials.</w:t>
      </w:r>
    </w:p>
    <w:p w14:paraId="4B4855D6" w14:textId="77777777" w:rsidR="009432FA" w:rsidRPr="009432FA" w:rsidRDefault="009432FA" w:rsidP="009432FA">
      <w:pPr>
        <w:ind w:left="720" w:hanging="720"/>
        <w:rPr>
          <w:rFonts w:eastAsia="Calibri"/>
          <w:szCs w:val="22"/>
        </w:rPr>
      </w:pPr>
    </w:p>
    <w:p w14:paraId="3111D546" w14:textId="77777777" w:rsidR="009432FA" w:rsidRPr="009432FA" w:rsidRDefault="009432FA" w:rsidP="009432FA">
      <w:pPr>
        <w:ind w:left="720" w:hanging="720"/>
        <w:rPr>
          <w:rFonts w:eastAsia="Calibri"/>
          <w:szCs w:val="22"/>
        </w:rPr>
      </w:pPr>
      <w:r w:rsidRPr="009432FA">
        <w:rPr>
          <w:rFonts w:eastAsia="Calibri"/>
          <w:szCs w:val="22"/>
        </w:rPr>
        <w:t>(</w:t>
      </w:r>
      <w:r w:rsidR="001A3E45">
        <w:rPr>
          <w:rFonts w:eastAsia="Calibri"/>
          <w:szCs w:val="22"/>
        </w:rPr>
        <w:t>E</w:t>
      </w:r>
      <w:r w:rsidRPr="009432FA">
        <w:rPr>
          <w:rFonts w:eastAsia="Calibri"/>
          <w:szCs w:val="22"/>
        </w:rPr>
        <w:t>)</w:t>
      </w:r>
      <w:r w:rsidRPr="009432FA">
        <w:rPr>
          <w:rFonts w:eastAsia="Calibri"/>
          <w:szCs w:val="22"/>
        </w:rPr>
        <w:tab/>
        <w:t>Procedures.</w:t>
      </w:r>
    </w:p>
    <w:p w14:paraId="142FB2CD" w14:textId="77777777" w:rsidR="009432FA" w:rsidRPr="009432FA" w:rsidRDefault="009432FA" w:rsidP="009432FA">
      <w:pPr>
        <w:ind w:left="720" w:hanging="720"/>
        <w:rPr>
          <w:rFonts w:eastAsia="Calibri"/>
          <w:szCs w:val="22"/>
        </w:rPr>
      </w:pPr>
    </w:p>
    <w:p w14:paraId="04EB2A2F" w14:textId="77777777" w:rsidR="009432FA" w:rsidRPr="009432FA" w:rsidRDefault="009432FA" w:rsidP="009432FA">
      <w:pPr>
        <w:ind w:left="1440" w:hanging="720"/>
        <w:rPr>
          <w:rFonts w:eastAsia="Calibri"/>
          <w:szCs w:val="22"/>
        </w:rPr>
      </w:pPr>
      <w:r w:rsidRPr="009432FA">
        <w:rPr>
          <w:rFonts w:eastAsia="Calibri"/>
          <w:szCs w:val="22"/>
        </w:rPr>
        <w:t>(1)</w:t>
      </w:r>
      <w:r w:rsidRPr="009432FA">
        <w:rPr>
          <w:rFonts w:eastAsia="Calibri"/>
          <w:szCs w:val="22"/>
        </w:rPr>
        <w:tab/>
      </w:r>
      <w:r>
        <w:rPr>
          <w:rFonts w:eastAsia="Calibri"/>
          <w:szCs w:val="22"/>
        </w:rPr>
        <w:t xml:space="preserve">When it is determined that departmental property is no longer needed, the chairperson/director shall release it to the office of </w:t>
      </w:r>
      <w:r w:rsidR="004800C2">
        <w:rPr>
          <w:rFonts w:eastAsia="Calibri"/>
          <w:szCs w:val="22"/>
        </w:rPr>
        <w:t xml:space="preserve">facilities maintenance &amp; </w:t>
      </w:r>
      <w:r>
        <w:rPr>
          <w:rFonts w:eastAsia="Calibri"/>
          <w:szCs w:val="22"/>
        </w:rPr>
        <w:t xml:space="preserve">support services by completing the </w:t>
      </w:r>
      <w:r>
        <w:rPr>
          <w:rFonts w:eastAsia="Calibri"/>
          <w:szCs w:val="22"/>
        </w:rPr>
        <w:lastRenderedPageBreak/>
        <w:t xml:space="preserve">appropriate section of the  </w:t>
      </w:r>
      <w:r w:rsidR="004800C2">
        <w:rPr>
          <w:rFonts w:eastAsia="Calibri"/>
          <w:szCs w:val="22"/>
        </w:rPr>
        <w:t xml:space="preserve">“Capital Inventory Surplus Release &amp; Work Order” </w:t>
      </w:r>
      <w:r>
        <w:rPr>
          <w:rFonts w:eastAsia="Calibri"/>
          <w:szCs w:val="22"/>
        </w:rPr>
        <w:t xml:space="preserve">form.  </w:t>
      </w:r>
      <w:r w:rsidR="00EE720C">
        <w:rPr>
          <w:rFonts w:eastAsia="Calibri"/>
          <w:szCs w:val="22"/>
        </w:rPr>
        <w:t xml:space="preserve">(These forms may be obtained from the </w:t>
      </w:r>
      <w:r w:rsidR="004800C2">
        <w:rPr>
          <w:rFonts w:eastAsia="Calibri"/>
          <w:szCs w:val="22"/>
        </w:rPr>
        <w:t xml:space="preserve"> </w:t>
      </w:r>
      <w:hyperlink r:id="rId10" w:history="1">
        <w:r w:rsidR="004800C2" w:rsidRPr="004800C2">
          <w:rPr>
            <w:rStyle w:val="Hyperlink"/>
            <w:rFonts w:eastAsia="Calibri"/>
            <w:szCs w:val="22"/>
          </w:rPr>
          <w:t xml:space="preserve">YSU </w:t>
        </w:r>
        <w:r w:rsidR="004800C2" w:rsidRPr="004800C2">
          <w:rPr>
            <w:rStyle w:val="Hyperlink"/>
            <w:rFonts w:eastAsia="Calibri"/>
            <w:szCs w:val="22"/>
          </w:rPr>
          <w:t xml:space="preserve">Surplus Equipment </w:t>
        </w:r>
        <w:r w:rsidR="004800C2">
          <w:rPr>
            <w:rStyle w:val="Hyperlink"/>
            <w:rFonts w:eastAsia="Calibri"/>
            <w:szCs w:val="22"/>
          </w:rPr>
          <w:t>w</w:t>
        </w:r>
        <w:r w:rsidR="004800C2" w:rsidRPr="004800C2">
          <w:rPr>
            <w:rStyle w:val="Hyperlink"/>
            <w:rFonts w:eastAsia="Calibri"/>
            <w:szCs w:val="22"/>
          </w:rPr>
          <w:t>ebsite</w:t>
        </w:r>
      </w:hyperlink>
      <w:r w:rsidR="00EE720C">
        <w:rPr>
          <w:rFonts w:eastAsia="Calibri"/>
          <w:szCs w:val="22"/>
        </w:rPr>
        <w:t>.)</w:t>
      </w:r>
      <w:r>
        <w:rPr>
          <w:rFonts w:eastAsia="Calibri"/>
          <w:szCs w:val="22"/>
        </w:rPr>
        <w:t xml:space="preserve">  </w:t>
      </w:r>
    </w:p>
    <w:p w14:paraId="4CBDFA08" w14:textId="77777777" w:rsidR="009432FA" w:rsidRPr="009432FA" w:rsidRDefault="009432FA" w:rsidP="009432FA">
      <w:pPr>
        <w:ind w:left="1440" w:hanging="720"/>
        <w:rPr>
          <w:rFonts w:eastAsia="Calibri"/>
          <w:szCs w:val="22"/>
        </w:rPr>
      </w:pPr>
    </w:p>
    <w:p w14:paraId="2F2DDE26" w14:textId="77777777" w:rsidR="009432FA" w:rsidRPr="009432FA" w:rsidRDefault="009432FA" w:rsidP="009432FA">
      <w:pPr>
        <w:ind w:left="1440" w:hanging="720"/>
        <w:rPr>
          <w:rFonts w:eastAsia="Calibri"/>
          <w:szCs w:val="22"/>
        </w:rPr>
      </w:pPr>
      <w:r w:rsidRPr="009432FA">
        <w:rPr>
          <w:rFonts w:eastAsia="Calibri"/>
          <w:szCs w:val="22"/>
        </w:rPr>
        <w:t>(2)</w:t>
      </w:r>
      <w:r w:rsidRPr="009432FA">
        <w:rPr>
          <w:rFonts w:eastAsia="Calibri"/>
          <w:szCs w:val="22"/>
        </w:rPr>
        <w:tab/>
        <w:t xml:space="preserve"> </w:t>
      </w:r>
      <w:r w:rsidR="00EE720C">
        <w:rPr>
          <w:rFonts w:eastAsia="Calibri"/>
          <w:szCs w:val="22"/>
        </w:rPr>
        <w:t xml:space="preserve">Any technology-based component or equipment which is </w:t>
      </w:r>
      <w:r w:rsidR="00EE720C" w:rsidRPr="004B59E9">
        <w:t xml:space="preserve">determined to be surplus, such as a </w:t>
      </w:r>
      <w:r w:rsidR="00EE720C">
        <w:t>c</w:t>
      </w:r>
      <w:r w:rsidR="00EE720C" w:rsidRPr="004B59E9">
        <w:t xml:space="preserve">entral </w:t>
      </w:r>
      <w:r w:rsidR="00EE720C">
        <w:t>p</w:t>
      </w:r>
      <w:r w:rsidR="00EE720C" w:rsidRPr="004B59E9">
        <w:t xml:space="preserve">rocessing </w:t>
      </w:r>
      <w:r w:rsidR="00EE720C">
        <w:t>u</w:t>
      </w:r>
      <w:r w:rsidR="00EE720C" w:rsidRPr="004B59E9">
        <w:t>nit (</w:t>
      </w:r>
      <w:r w:rsidR="00EE720C">
        <w:t>“</w:t>
      </w:r>
      <w:r w:rsidR="00EE720C" w:rsidRPr="004B59E9">
        <w:t>CPU</w:t>
      </w:r>
      <w:r w:rsidR="00EE720C">
        <w:t>”</w:t>
      </w:r>
      <w:r w:rsidR="00EE720C" w:rsidRPr="004B59E9">
        <w:t xml:space="preserve">) contained within a computer, </w:t>
      </w:r>
      <w:r w:rsidR="00EE720C">
        <w:t xml:space="preserve">equipment </w:t>
      </w:r>
      <w:r w:rsidR="00EE720C" w:rsidRPr="004B59E9">
        <w:t xml:space="preserve">with magnetic or electronic memory (digital cameras, external hard drives, etc.) and/or </w:t>
      </w:r>
      <w:r w:rsidR="00EE720C">
        <w:t xml:space="preserve">equipment with </w:t>
      </w:r>
      <w:r w:rsidR="00EE720C" w:rsidRPr="004B59E9">
        <w:t>components which can perform electronic data storage (printers, scanners, and copies), shall be t</w:t>
      </w:r>
      <w:r w:rsidR="00EE720C">
        <w:t xml:space="preserve">urned </w:t>
      </w:r>
      <w:r w:rsidR="00EE720C" w:rsidRPr="004B59E9">
        <w:t xml:space="preserve">over to the </w:t>
      </w:r>
      <w:r w:rsidR="00EE720C">
        <w:t>i</w:t>
      </w:r>
      <w:r w:rsidR="00EE720C" w:rsidRPr="004B59E9">
        <w:t xml:space="preserve">nformation </w:t>
      </w:r>
      <w:r w:rsidR="00EE720C">
        <w:t>t</w:t>
      </w:r>
      <w:r w:rsidR="00EE720C" w:rsidRPr="004B59E9">
        <w:t xml:space="preserve">echnology </w:t>
      </w:r>
      <w:r w:rsidR="00EE720C">
        <w:t>s</w:t>
      </w:r>
      <w:r w:rsidR="00EE720C" w:rsidRPr="004B59E9">
        <w:t>ervices division.</w:t>
      </w:r>
    </w:p>
    <w:p w14:paraId="0DB01819" w14:textId="77777777" w:rsidR="009432FA" w:rsidRPr="009432FA" w:rsidRDefault="009432FA" w:rsidP="009432FA">
      <w:pPr>
        <w:ind w:left="1440" w:hanging="720"/>
        <w:rPr>
          <w:rFonts w:eastAsia="Calibri"/>
          <w:szCs w:val="22"/>
        </w:rPr>
      </w:pPr>
    </w:p>
    <w:p w14:paraId="379924B7" w14:textId="77777777" w:rsidR="009432FA" w:rsidRPr="009432FA" w:rsidRDefault="009432FA" w:rsidP="009432FA">
      <w:pPr>
        <w:ind w:left="1440" w:hanging="720"/>
        <w:rPr>
          <w:rFonts w:eastAsia="Calibri"/>
          <w:szCs w:val="22"/>
        </w:rPr>
      </w:pPr>
      <w:r w:rsidRPr="009432FA">
        <w:rPr>
          <w:rFonts w:eastAsia="Calibri"/>
          <w:szCs w:val="22"/>
        </w:rPr>
        <w:t>(3)</w:t>
      </w:r>
      <w:r w:rsidRPr="009432FA">
        <w:rPr>
          <w:rFonts w:eastAsia="Calibri"/>
          <w:szCs w:val="22"/>
        </w:rPr>
        <w:tab/>
      </w:r>
      <w:r w:rsidR="00EE720C">
        <w:rPr>
          <w:rFonts w:eastAsia="Calibri"/>
          <w:szCs w:val="22"/>
        </w:rPr>
        <w:t xml:space="preserve">Technology services shall either maintain an inventory of the technology-based components or equipment for redeployment within the university or prepare the component or equipment as surplus property for transfer to the office of </w:t>
      </w:r>
      <w:r w:rsidR="004800C2">
        <w:rPr>
          <w:rFonts w:eastAsia="Calibri"/>
          <w:szCs w:val="22"/>
        </w:rPr>
        <w:t xml:space="preserve">facilities maintenance &amp; </w:t>
      </w:r>
      <w:r w:rsidR="00EE720C">
        <w:rPr>
          <w:rFonts w:eastAsia="Calibri"/>
          <w:szCs w:val="22"/>
        </w:rPr>
        <w:t xml:space="preserve">support services.  Prior to the transfer as surplus property, the information technology division shall process the property and certify it is cleansed.  Information technology services shall be the sole authority for determining and communicating to office of support services the permissible disposition of technology equipment. </w:t>
      </w:r>
    </w:p>
    <w:p w14:paraId="09224BB6" w14:textId="77777777" w:rsidR="009432FA" w:rsidRPr="009432FA" w:rsidRDefault="009432FA" w:rsidP="009432FA">
      <w:pPr>
        <w:ind w:left="1440" w:hanging="720"/>
        <w:rPr>
          <w:rFonts w:eastAsia="Calibri"/>
          <w:szCs w:val="22"/>
        </w:rPr>
      </w:pPr>
    </w:p>
    <w:p w14:paraId="03BF46AF" w14:textId="77777777" w:rsidR="009432FA" w:rsidRPr="009432FA" w:rsidRDefault="009432FA" w:rsidP="009432FA">
      <w:pPr>
        <w:ind w:left="1440" w:hanging="720"/>
        <w:rPr>
          <w:rFonts w:eastAsia="Calibri"/>
          <w:szCs w:val="22"/>
        </w:rPr>
      </w:pPr>
      <w:r w:rsidRPr="009432FA">
        <w:rPr>
          <w:rFonts w:eastAsia="Calibri"/>
          <w:szCs w:val="22"/>
        </w:rPr>
        <w:t>(4)</w:t>
      </w:r>
      <w:r w:rsidRPr="009432FA">
        <w:rPr>
          <w:rFonts w:eastAsia="Calibri"/>
          <w:szCs w:val="22"/>
        </w:rPr>
        <w:tab/>
      </w:r>
      <w:r w:rsidR="00EE720C">
        <w:rPr>
          <w:rFonts w:eastAsia="Calibri"/>
          <w:szCs w:val="22"/>
        </w:rPr>
        <w:t>Disposable media for data storage that are not solid state (paper, floppy drives, zip drives, CDs, DVDs, and future such media) are not considered technology-based equipment or components for the purpose of this policy.</w:t>
      </w:r>
      <w:r w:rsidRPr="009432FA">
        <w:rPr>
          <w:rFonts w:eastAsia="Calibri"/>
          <w:szCs w:val="22"/>
        </w:rPr>
        <w:t xml:space="preserve"> </w:t>
      </w:r>
    </w:p>
    <w:p w14:paraId="5C075893" w14:textId="77777777" w:rsidR="009432FA" w:rsidRPr="009432FA" w:rsidRDefault="009432FA" w:rsidP="009432FA">
      <w:pPr>
        <w:ind w:left="1440" w:hanging="720"/>
        <w:rPr>
          <w:rFonts w:eastAsia="Calibri"/>
          <w:szCs w:val="22"/>
        </w:rPr>
      </w:pPr>
    </w:p>
    <w:p w14:paraId="20DDF7AA" w14:textId="77777777" w:rsidR="009432FA" w:rsidRPr="009432FA" w:rsidRDefault="009432FA" w:rsidP="009432FA">
      <w:pPr>
        <w:ind w:left="1440" w:hanging="720"/>
        <w:rPr>
          <w:rFonts w:eastAsia="Calibri"/>
          <w:szCs w:val="22"/>
        </w:rPr>
      </w:pPr>
      <w:r w:rsidRPr="009432FA">
        <w:rPr>
          <w:rFonts w:eastAsia="Calibri"/>
          <w:szCs w:val="22"/>
        </w:rPr>
        <w:t>(5)</w:t>
      </w:r>
      <w:r w:rsidRPr="009432FA">
        <w:rPr>
          <w:rFonts w:eastAsia="Calibri"/>
          <w:szCs w:val="22"/>
        </w:rPr>
        <w:tab/>
      </w:r>
      <w:r w:rsidR="00EE720C">
        <w:rPr>
          <w:rFonts w:eastAsia="Calibri"/>
          <w:szCs w:val="22"/>
        </w:rPr>
        <w:t xml:space="preserve">To facilitate the intra-university transfer of surplus property, the office of </w:t>
      </w:r>
      <w:r w:rsidR="004800C2">
        <w:rPr>
          <w:rFonts w:eastAsia="Calibri"/>
          <w:szCs w:val="22"/>
        </w:rPr>
        <w:t xml:space="preserve">facilities maintenance &amp; </w:t>
      </w:r>
      <w:r w:rsidR="00EE720C">
        <w:rPr>
          <w:rFonts w:eastAsia="Calibri"/>
          <w:szCs w:val="22"/>
        </w:rPr>
        <w:t>support services is responsible for maintaining an inventory of such property and periodically notifying the campus community of its availability.</w:t>
      </w:r>
    </w:p>
    <w:p w14:paraId="7E72FCAF" w14:textId="77777777" w:rsidR="009432FA" w:rsidRDefault="009432FA" w:rsidP="009432FA">
      <w:pPr>
        <w:ind w:left="1440" w:hanging="720"/>
        <w:rPr>
          <w:rFonts w:eastAsia="Calibri"/>
          <w:szCs w:val="22"/>
        </w:rPr>
      </w:pPr>
    </w:p>
    <w:p w14:paraId="1C54D42A" w14:textId="77777777" w:rsidR="009432FA" w:rsidRPr="009432FA" w:rsidRDefault="009432FA" w:rsidP="009432FA">
      <w:pPr>
        <w:ind w:left="1440" w:hanging="720"/>
        <w:rPr>
          <w:rFonts w:eastAsia="Calibri"/>
          <w:szCs w:val="22"/>
        </w:rPr>
      </w:pPr>
      <w:r w:rsidRPr="009432FA">
        <w:rPr>
          <w:rFonts w:eastAsia="Calibri"/>
          <w:szCs w:val="22"/>
        </w:rPr>
        <w:t>(</w:t>
      </w:r>
      <w:r>
        <w:rPr>
          <w:rFonts w:eastAsia="Calibri"/>
          <w:szCs w:val="22"/>
        </w:rPr>
        <w:t>6</w:t>
      </w:r>
      <w:r w:rsidRPr="009432FA">
        <w:rPr>
          <w:rFonts w:eastAsia="Calibri"/>
          <w:szCs w:val="22"/>
        </w:rPr>
        <w:t>)</w:t>
      </w:r>
      <w:r w:rsidRPr="009432FA">
        <w:rPr>
          <w:rFonts w:eastAsia="Calibri"/>
          <w:szCs w:val="22"/>
        </w:rPr>
        <w:tab/>
      </w:r>
      <w:r w:rsidR="00EE720C">
        <w:rPr>
          <w:rFonts w:eastAsia="Calibri"/>
          <w:szCs w:val="22"/>
        </w:rPr>
        <w:t xml:space="preserve">Requests for surplus property are made through the office of </w:t>
      </w:r>
      <w:r w:rsidR="004800C2">
        <w:rPr>
          <w:rFonts w:eastAsia="Calibri"/>
          <w:szCs w:val="22"/>
        </w:rPr>
        <w:t xml:space="preserve">facilities maintenance &amp; </w:t>
      </w:r>
      <w:r w:rsidR="00EE720C">
        <w:rPr>
          <w:rFonts w:eastAsia="Calibri"/>
          <w:szCs w:val="22"/>
        </w:rPr>
        <w:t>support services.</w:t>
      </w:r>
      <w:r w:rsidRPr="009432FA">
        <w:rPr>
          <w:rFonts w:eastAsia="Calibri"/>
          <w:szCs w:val="22"/>
        </w:rPr>
        <w:t xml:space="preserve"> </w:t>
      </w:r>
    </w:p>
    <w:p w14:paraId="7D5C1C35" w14:textId="77777777" w:rsidR="009432FA" w:rsidRPr="009432FA" w:rsidRDefault="009432FA" w:rsidP="009432FA">
      <w:pPr>
        <w:ind w:left="1440" w:hanging="720"/>
        <w:rPr>
          <w:rFonts w:eastAsia="Calibri"/>
          <w:szCs w:val="22"/>
        </w:rPr>
      </w:pPr>
    </w:p>
    <w:p w14:paraId="51B30BFF" w14:textId="77777777" w:rsidR="009432FA" w:rsidRPr="009432FA" w:rsidRDefault="009432FA" w:rsidP="009432FA">
      <w:pPr>
        <w:ind w:left="1440" w:hanging="720"/>
        <w:rPr>
          <w:rFonts w:eastAsia="Calibri"/>
          <w:szCs w:val="22"/>
        </w:rPr>
      </w:pPr>
      <w:r w:rsidRPr="009432FA">
        <w:rPr>
          <w:rFonts w:eastAsia="Calibri"/>
          <w:szCs w:val="22"/>
        </w:rPr>
        <w:t>(</w:t>
      </w:r>
      <w:r>
        <w:rPr>
          <w:rFonts w:eastAsia="Calibri"/>
          <w:szCs w:val="22"/>
        </w:rPr>
        <w:t>7</w:t>
      </w:r>
      <w:r w:rsidRPr="009432FA">
        <w:rPr>
          <w:rFonts w:eastAsia="Calibri"/>
          <w:szCs w:val="22"/>
        </w:rPr>
        <w:t>)</w:t>
      </w:r>
      <w:r w:rsidRPr="009432FA">
        <w:rPr>
          <w:rFonts w:eastAsia="Calibri"/>
          <w:szCs w:val="22"/>
        </w:rPr>
        <w:tab/>
      </w:r>
      <w:r w:rsidR="00A03A75">
        <w:rPr>
          <w:rFonts w:eastAsia="Calibri"/>
          <w:szCs w:val="22"/>
        </w:rPr>
        <w:t xml:space="preserve">When it is determined to be in the best interest of the university, the office of </w:t>
      </w:r>
      <w:r w:rsidR="004800C2">
        <w:rPr>
          <w:rFonts w:eastAsia="Calibri"/>
          <w:szCs w:val="22"/>
        </w:rPr>
        <w:t xml:space="preserve">facilities maintenance &amp; </w:t>
      </w:r>
      <w:r w:rsidR="00A03A75">
        <w:rPr>
          <w:rFonts w:eastAsia="Calibri"/>
          <w:szCs w:val="22"/>
        </w:rPr>
        <w:t>support services may dispose of such property by:</w:t>
      </w:r>
    </w:p>
    <w:p w14:paraId="5CE02175" w14:textId="77777777" w:rsidR="00A03A75" w:rsidRPr="00A03A75" w:rsidRDefault="00A03A75" w:rsidP="00A03A75">
      <w:pPr>
        <w:ind w:left="1440" w:hanging="720"/>
        <w:rPr>
          <w:rFonts w:eastAsia="Calibri"/>
          <w:szCs w:val="22"/>
        </w:rPr>
      </w:pPr>
    </w:p>
    <w:p w14:paraId="1D706DF5" w14:textId="77777777" w:rsidR="00A03A75" w:rsidRPr="00A03A75" w:rsidRDefault="00A03A75" w:rsidP="00A03A75">
      <w:pPr>
        <w:autoSpaceDE w:val="0"/>
        <w:autoSpaceDN w:val="0"/>
        <w:adjustRightInd w:val="0"/>
        <w:spacing w:after="35"/>
        <w:ind w:left="2160" w:hanging="720"/>
        <w:rPr>
          <w:szCs w:val="24"/>
        </w:rPr>
      </w:pPr>
      <w:r w:rsidRPr="00A03A75">
        <w:rPr>
          <w:szCs w:val="24"/>
        </w:rPr>
        <w:t>(a)</w:t>
      </w:r>
      <w:r w:rsidRPr="00A03A75">
        <w:rPr>
          <w:szCs w:val="24"/>
        </w:rPr>
        <w:tab/>
        <w:t xml:space="preserve"> </w:t>
      </w:r>
      <w:r>
        <w:rPr>
          <w:szCs w:val="24"/>
        </w:rPr>
        <w:t>Selling by sealed bid, at auction, or at predetermined price;</w:t>
      </w:r>
    </w:p>
    <w:p w14:paraId="7D370B6B" w14:textId="77777777" w:rsidR="00A03A75" w:rsidRPr="00A03A75" w:rsidRDefault="00A03A75" w:rsidP="00A03A75">
      <w:pPr>
        <w:autoSpaceDE w:val="0"/>
        <w:autoSpaceDN w:val="0"/>
        <w:adjustRightInd w:val="0"/>
        <w:spacing w:after="35"/>
        <w:ind w:left="2160" w:hanging="720"/>
        <w:rPr>
          <w:szCs w:val="24"/>
        </w:rPr>
      </w:pPr>
    </w:p>
    <w:p w14:paraId="43BE09A6" w14:textId="77777777" w:rsidR="00A03A75" w:rsidRPr="00A03A75" w:rsidRDefault="00A03A75" w:rsidP="00A03A75">
      <w:pPr>
        <w:autoSpaceDE w:val="0"/>
        <w:autoSpaceDN w:val="0"/>
        <w:adjustRightInd w:val="0"/>
        <w:spacing w:after="35"/>
        <w:ind w:left="2160" w:hanging="720"/>
        <w:rPr>
          <w:szCs w:val="24"/>
        </w:rPr>
      </w:pPr>
      <w:r w:rsidRPr="00A03A75">
        <w:rPr>
          <w:szCs w:val="24"/>
        </w:rPr>
        <w:t>(b)</w:t>
      </w:r>
      <w:r w:rsidRPr="00A03A75">
        <w:rPr>
          <w:szCs w:val="24"/>
        </w:rPr>
        <w:tab/>
        <w:t xml:space="preserve"> </w:t>
      </w:r>
      <w:r>
        <w:rPr>
          <w:szCs w:val="24"/>
        </w:rPr>
        <w:t>Gifting to other</w:t>
      </w:r>
      <w:r w:rsidR="009F0480">
        <w:rPr>
          <w:szCs w:val="24"/>
        </w:rPr>
        <w:t xml:space="preserve"> educational, governmental, or </w:t>
      </w:r>
      <w:r>
        <w:rPr>
          <w:szCs w:val="24"/>
        </w:rPr>
        <w:t>501(c)(3) agency; or</w:t>
      </w:r>
    </w:p>
    <w:p w14:paraId="6C84EFDB" w14:textId="77777777" w:rsidR="00A03A75" w:rsidRPr="00A03A75" w:rsidRDefault="00A03A75" w:rsidP="00A03A75">
      <w:pPr>
        <w:autoSpaceDE w:val="0"/>
        <w:autoSpaceDN w:val="0"/>
        <w:adjustRightInd w:val="0"/>
        <w:spacing w:after="35"/>
        <w:ind w:left="2160" w:hanging="720"/>
        <w:rPr>
          <w:szCs w:val="24"/>
        </w:rPr>
      </w:pPr>
    </w:p>
    <w:p w14:paraId="42F29A7F" w14:textId="77777777" w:rsidR="00A03A75" w:rsidRPr="00A03A75" w:rsidRDefault="00A03A75" w:rsidP="00A03A75">
      <w:pPr>
        <w:autoSpaceDE w:val="0"/>
        <w:autoSpaceDN w:val="0"/>
        <w:adjustRightInd w:val="0"/>
        <w:spacing w:after="35"/>
        <w:ind w:left="2160" w:hanging="720"/>
        <w:rPr>
          <w:szCs w:val="24"/>
        </w:rPr>
      </w:pPr>
      <w:r w:rsidRPr="00A03A75">
        <w:rPr>
          <w:szCs w:val="24"/>
        </w:rPr>
        <w:t>(c)</w:t>
      </w:r>
      <w:r w:rsidRPr="00A03A75">
        <w:rPr>
          <w:szCs w:val="24"/>
        </w:rPr>
        <w:tab/>
        <w:t xml:space="preserve"> </w:t>
      </w:r>
      <w:r>
        <w:rPr>
          <w:szCs w:val="24"/>
        </w:rPr>
        <w:t>Discarding.</w:t>
      </w:r>
    </w:p>
    <w:p w14:paraId="701DD060" w14:textId="77777777" w:rsidR="00A03A75" w:rsidRPr="00A03A75" w:rsidRDefault="00A03A75" w:rsidP="00A03A75">
      <w:pPr>
        <w:ind w:left="1440" w:hanging="720"/>
        <w:rPr>
          <w:rFonts w:eastAsia="Calibri"/>
          <w:szCs w:val="22"/>
        </w:rPr>
      </w:pPr>
    </w:p>
    <w:p w14:paraId="42CFF5B3" w14:textId="77777777" w:rsidR="00F548EA" w:rsidRDefault="00A03A75" w:rsidP="00416D82">
      <w:pPr>
        <w:autoSpaceDE w:val="0"/>
        <w:autoSpaceDN w:val="0"/>
        <w:adjustRightInd w:val="0"/>
        <w:spacing w:after="35"/>
        <w:ind w:left="1440"/>
      </w:pPr>
      <w:r>
        <w:rPr>
          <w:szCs w:val="24"/>
        </w:rPr>
        <w:t>Proceeds from sales shall be deposited into the appropriate account.</w:t>
      </w:r>
    </w:p>
    <w:sectPr w:rsidR="00F548EA" w:rsidSect="009432FA">
      <w:headerReference w:type="default" r:id="rId11"/>
      <w:pgSz w:w="12240" w:h="15840"/>
      <w:pgMar w:top="2160" w:right="2160" w:bottom="2160" w:left="216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D06B" w14:textId="77777777" w:rsidR="00937B72" w:rsidRDefault="00937B72" w:rsidP="00A82644">
      <w:r>
        <w:separator/>
      </w:r>
    </w:p>
  </w:endnote>
  <w:endnote w:type="continuationSeparator" w:id="0">
    <w:p w14:paraId="40B248C6" w14:textId="77777777" w:rsidR="00937B72" w:rsidRDefault="00937B72" w:rsidP="00A8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2657E" w14:textId="77777777" w:rsidR="00937B72" w:rsidRDefault="00937B72" w:rsidP="00A82644">
      <w:r>
        <w:separator/>
      </w:r>
    </w:p>
  </w:footnote>
  <w:footnote w:type="continuationSeparator" w:id="0">
    <w:p w14:paraId="11FCE059" w14:textId="77777777" w:rsidR="00937B72" w:rsidRDefault="00937B72" w:rsidP="00A8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BE34" w14:textId="77777777" w:rsidR="009432FA" w:rsidRDefault="009432FA" w:rsidP="009432FA">
    <w:pPr>
      <w:pStyle w:val="Header"/>
      <w:tabs>
        <w:tab w:val="clear" w:pos="4680"/>
        <w:tab w:val="clear" w:pos="9360"/>
        <w:tab w:val="right" w:pos="7920"/>
      </w:tabs>
      <w:jc w:val="right"/>
    </w:pPr>
    <w:r>
      <w:t>3356-4-02</w:t>
    </w:r>
    <w:r>
      <w:tab/>
    </w:r>
    <w:r>
      <w:fldChar w:fldCharType="begin"/>
    </w:r>
    <w:r>
      <w:instrText xml:space="preserve"> PAGE   \* MERGEFORMAT </w:instrText>
    </w:r>
    <w:r>
      <w:fldChar w:fldCharType="separate"/>
    </w:r>
    <w:r w:rsidR="00F449AC">
      <w:rPr>
        <w:noProof/>
      </w:rPr>
      <w:t>3</w:t>
    </w:r>
    <w:r>
      <w:rPr>
        <w:noProof/>
      </w:rPr>
      <w:fldChar w:fldCharType="end"/>
    </w:r>
  </w:p>
  <w:p w14:paraId="13FBC15C" w14:textId="77777777" w:rsidR="00BB638E" w:rsidRDefault="00BB638E" w:rsidP="009432FA">
    <w:pPr>
      <w:pStyle w:val="Header"/>
      <w:tabs>
        <w:tab w:val="clear" w:pos="4680"/>
        <w:tab w:val="clear" w:pos="9360"/>
        <w:tab w:val="righ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B47B53"/>
    <w:multiLevelType w:val="multilevel"/>
    <w:tmpl w:val="098CC21E"/>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FBB501B"/>
    <w:multiLevelType w:val="hybridMultilevel"/>
    <w:tmpl w:val="002CE6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926AA"/>
    <w:multiLevelType w:val="hybridMultilevel"/>
    <w:tmpl w:val="01905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811CEF"/>
    <w:multiLevelType w:val="singleLevel"/>
    <w:tmpl w:val="4F3E7D06"/>
    <w:lvl w:ilvl="0">
      <w:start w:val="4"/>
      <w:numFmt w:val="decimal"/>
      <w:lvlText w:val="%1."/>
      <w:legacy w:legacy="1" w:legacySpace="0" w:legacyIndent="360"/>
      <w:lvlJc w:val="left"/>
      <w:pPr>
        <w:ind w:left="360" w:hanging="360"/>
      </w:pPr>
      <w:rPr>
        <w:color w:val="FF0000"/>
        <w:u w:val="single"/>
      </w:rPr>
    </w:lvl>
  </w:abstractNum>
  <w:num w:numId="1" w16cid:durableId="10138047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6190065">
    <w:abstractNumId w:val="1"/>
  </w:num>
  <w:num w:numId="3" w16cid:durableId="231623317">
    <w:abstractNumId w:val="1"/>
    <w:lvlOverride w:ilvl="0">
      <w:lvl w:ilvl="0">
        <w:start w:val="1"/>
        <w:numFmt w:val="decimal"/>
        <w:lvlText w:val="%1."/>
        <w:legacy w:legacy="1" w:legacySpace="0" w:legacyIndent="360"/>
        <w:lvlJc w:val="left"/>
        <w:pPr>
          <w:ind w:left="360" w:hanging="360"/>
        </w:pPr>
      </w:lvl>
    </w:lvlOverride>
  </w:num>
  <w:num w:numId="4" w16cid:durableId="171261443">
    <w:abstractNumId w:val="1"/>
    <w:lvlOverride w:ilvl="0">
      <w:lvl w:ilvl="0">
        <w:start w:val="1"/>
        <w:numFmt w:val="decimal"/>
        <w:lvlText w:val="%1."/>
        <w:legacy w:legacy="1" w:legacySpace="0" w:legacyIndent="360"/>
        <w:lvlJc w:val="left"/>
        <w:pPr>
          <w:ind w:left="360" w:hanging="360"/>
        </w:pPr>
      </w:lvl>
    </w:lvlOverride>
  </w:num>
  <w:num w:numId="5" w16cid:durableId="965695727">
    <w:abstractNumId w:val="4"/>
  </w:num>
  <w:num w:numId="6" w16cid:durableId="2136944589">
    <w:abstractNumId w:val="3"/>
  </w:num>
  <w:num w:numId="7" w16cid:durableId="416630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36"/>
    <w:rsid w:val="00034336"/>
    <w:rsid w:val="0005702F"/>
    <w:rsid w:val="000A6FC8"/>
    <w:rsid w:val="000F571A"/>
    <w:rsid w:val="0016133A"/>
    <w:rsid w:val="00176B0B"/>
    <w:rsid w:val="001A3E45"/>
    <w:rsid w:val="001B4564"/>
    <w:rsid w:val="001E5E2D"/>
    <w:rsid w:val="00224939"/>
    <w:rsid w:val="00245C76"/>
    <w:rsid w:val="00245F0F"/>
    <w:rsid w:val="002651E0"/>
    <w:rsid w:val="002A50B4"/>
    <w:rsid w:val="002C7BEB"/>
    <w:rsid w:val="003A042A"/>
    <w:rsid w:val="003D1DF6"/>
    <w:rsid w:val="003E7896"/>
    <w:rsid w:val="00416D82"/>
    <w:rsid w:val="004800C2"/>
    <w:rsid w:val="004B59E9"/>
    <w:rsid w:val="004D047B"/>
    <w:rsid w:val="004E7158"/>
    <w:rsid w:val="004F2479"/>
    <w:rsid w:val="005B43EC"/>
    <w:rsid w:val="006215A0"/>
    <w:rsid w:val="006217D8"/>
    <w:rsid w:val="00634794"/>
    <w:rsid w:val="00651133"/>
    <w:rsid w:val="0068180D"/>
    <w:rsid w:val="00710566"/>
    <w:rsid w:val="007861C6"/>
    <w:rsid w:val="007C4B14"/>
    <w:rsid w:val="00805BB9"/>
    <w:rsid w:val="008A2758"/>
    <w:rsid w:val="008C49A9"/>
    <w:rsid w:val="008D6FCC"/>
    <w:rsid w:val="008E74DF"/>
    <w:rsid w:val="00937B72"/>
    <w:rsid w:val="009432FA"/>
    <w:rsid w:val="009734B3"/>
    <w:rsid w:val="00985732"/>
    <w:rsid w:val="0099375F"/>
    <w:rsid w:val="009B0CC0"/>
    <w:rsid w:val="009B3F2B"/>
    <w:rsid w:val="009B4665"/>
    <w:rsid w:val="009F0480"/>
    <w:rsid w:val="00A03A75"/>
    <w:rsid w:val="00A32BDF"/>
    <w:rsid w:val="00A33997"/>
    <w:rsid w:val="00A82644"/>
    <w:rsid w:val="00AA76C3"/>
    <w:rsid w:val="00AF579B"/>
    <w:rsid w:val="00B31E4E"/>
    <w:rsid w:val="00B41481"/>
    <w:rsid w:val="00B627A6"/>
    <w:rsid w:val="00B71CA5"/>
    <w:rsid w:val="00BB638E"/>
    <w:rsid w:val="00BC08FE"/>
    <w:rsid w:val="00BD37C7"/>
    <w:rsid w:val="00BF1EA5"/>
    <w:rsid w:val="00C45FCC"/>
    <w:rsid w:val="00C925FE"/>
    <w:rsid w:val="00D17A6F"/>
    <w:rsid w:val="00D642DD"/>
    <w:rsid w:val="00DA21DE"/>
    <w:rsid w:val="00DD4366"/>
    <w:rsid w:val="00DD7D79"/>
    <w:rsid w:val="00DE77A4"/>
    <w:rsid w:val="00DF0113"/>
    <w:rsid w:val="00DF70D3"/>
    <w:rsid w:val="00EE3B52"/>
    <w:rsid w:val="00EE720C"/>
    <w:rsid w:val="00EF65E5"/>
    <w:rsid w:val="00F14BD4"/>
    <w:rsid w:val="00F449AC"/>
    <w:rsid w:val="00F548EA"/>
    <w:rsid w:val="00FE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665015"/>
  <w15:chartTrackingRefBased/>
  <w15:docId w15:val="{7E2490A2-79A3-408D-B177-A672CB48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710566"/>
    <w:rPr>
      <w:rFonts w:ascii="Tahoma" w:hAnsi="Tahoma" w:cs="Tahoma"/>
      <w:sz w:val="16"/>
      <w:szCs w:val="16"/>
    </w:rPr>
  </w:style>
  <w:style w:type="character" w:customStyle="1" w:styleId="BalloonTextChar">
    <w:name w:val="Balloon Text Char"/>
    <w:link w:val="BalloonText"/>
    <w:uiPriority w:val="99"/>
    <w:semiHidden/>
    <w:rsid w:val="00710566"/>
    <w:rPr>
      <w:rFonts w:ascii="Tahoma" w:hAnsi="Tahoma" w:cs="Tahoma"/>
      <w:sz w:val="16"/>
      <w:szCs w:val="16"/>
    </w:rPr>
  </w:style>
  <w:style w:type="character" w:styleId="CommentReference">
    <w:name w:val="annotation reference"/>
    <w:uiPriority w:val="99"/>
    <w:semiHidden/>
    <w:unhideWhenUsed/>
    <w:rsid w:val="00710566"/>
    <w:rPr>
      <w:sz w:val="16"/>
      <w:szCs w:val="16"/>
    </w:rPr>
  </w:style>
  <w:style w:type="paragraph" w:styleId="CommentText">
    <w:name w:val="annotation text"/>
    <w:basedOn w:val="Normal"/>
    <w:link w:val="CommentTextChar"/>
    <w:uiPriority w:val="99"/>
    <w:semiHidden/>
    <w:unhideWhenUsed/>
    <w:rsid w:val="00710566"/>
    <w:rPr>
      <w:sz w:val="20"/>
    </w:rPr>
  </w:style>
  <w:style w:type="character" w:customStyle="1" w:styleId="CommentTextChar">
    <w:name w:val="Comment Text Char"/>
    <w:basedOn w:val="DefaultParagraphFont"/>
    <w:link w:val="CommentText"/>
    <w:uiPriority w:val="99"/>
    <w:semiHidden/>
    <w:rsid w:val="00710566"/>
  </w:style>
  <w:style w:type="paragraph" w:styleId="CommentSubject">
    <w:name w:val="annotation subject"/>
    <w:basedOn w:val="CommentText"/>
    <w:next w:val="CommentText"/>
    <w:link w:val="CommentSubjectChar"/>
    <w:uiPriority w:val="99"/>
    <w:semiHidden/>
    <w:unhideWhenUsed/>
    <w:rsid w:val="00710566"/>
    <w:rPr>
      <w:b/>
      <w:bCs/>
    </w:rPr>
  </w:style>
  <w:style w:type="character" w:customStyle="1" w:styleId="CommentSubjectChar">
    <w:name w:val="Comment Subject Char"/>
    <w:link w:val="CommentSubject"/>
    <w:uiPriority w:val="99"/>
    <w:semiHidden/>
    <w:rsid w:val="00710566"/>
    <w:rPr>
      <w:b/>
      <w:bCs/>
    </w:rPr>
  </w:style>
  <w:style w:type="paragraph" w:styleId="Revision">
    <w:name w:val="Revision"/>
    <w:hidden/>
    <w:uiPriority w:val="99"/>
    <w:semiHidden/>
    <w:rsid w:val="00710566"/>
    <w:rPr>
      <w:sz w:val="24"/>
    </w:rPr>
  </w:style>
  <w:style w:type="paragraph" w:styleId="ListParagraph">
    <w:name w:val="List Paragraph"/>
    <w:basedOn w:val="Normal"/>
    <w:uiPriority w:val="34"/>
    <w:qFormat/>
    <w:rsid w:val="00985732"/>
    <w:pPr>
      <w:ind w:left="720"/>
    </w:pPr>
  </w:style>
  <w:style w:type="paragraph" w:styleId="Header">
    <w:name w:val="header"/>
    <w:basedOn w:val="Normal"/>
    <w:link w:val="HeaderChar"/>
    <w:uiPriority w:val="99"/>
    <w:unhideWhenUsed/>
    <w:rsid w:val="00A82644"/>
    <w:pPr>
      <w:tabs>
        <w:tab w:val="center" w:pos="4680"/>
        <w:tab w:val="right" w:pos="9360"/>
      </w:tabs>
    </w:pPr>
  </w:style>
  <w:style w:type="character" w:customStyle="1" w:styleId="HeaderChar">
    <w:name w:val="Header Char"/>
    <w:link w:val="Header"/>
    <w:uiPriority w:val="99"/>
    <w:rsid w:val="00A82644"/>
    <w:rPr>
      <w:sz w:val="24"/>
    </w:rPr>
  </w:style>
  <w:style w:type="paragraph" w:styleId="Footer">
    <w:name w:val="footer"/>
    <w:basedOn w:val="Normal"/>
    <w:link w:val="FooterChar"/>
    <w:uiPriority w:val="99"/>
    <w:unhideWhenUsed/>
    <w:rsid w:val="00A82644"/>
    <w:pPr>
      <w:tabs>
        <w:tab w:val="center" w:pos="4680"/>
        <w:tab w:val="right" w:pos="9360"/>
      </w:tabs>
    </w:pPr>
  </w:style>
  <w:style w:type="character" w:customStyle="1" w:styleId="FooterChar">
    <w:name w:val="Footer Char"/>
    <w:link w:val="Footer"/>
    <w:uiPriority w:val="99"/>
    <w:rsid w:val="00A82644"/>
    <w:rPr>
      <w:sz w:val="24"/>
    </w:rPr>
  </w:style>
  <w:style w:type="character" w:styleId="Hyperlink">
    <w:name w:val="Hyperlink"/>
    <w:uiPriority w:val="99"/>
    <w:unhideWhenUsed/>
    <w:rsid w:val="004800C2"/>
    <w:rPr>
      <w:color w:val="467886"/>
      <w:u w:val="single"/>
    </w:rPr>
  </w:style>
  <w:style w:type="character" w:styleId="UnresolvedMention">
    <w:name w:val="Unresolved Mention"/>
    <w:uiPriority w:val="99"/>
    <w:semiHidden/>
    <w:unhideWhenUsed/>
    <w:rsid w:val="004800C2"/>
    <w:rPr>
      <w:color w:val="605E5C"/>
      <w:shd w:val="clear" w:color="auto" w:fill="E1DFDD"/>
    </w:rPr>
  </w:style>
  <w:style w:type="character" w:styleId="FollowedHyperlink">
    <w:name w:val="FollowedHyperlink"/>
    <w:uiPriority w:val="99"/>
    <w:semiHidden/>
    <w:unhideWhenUsed/>
    <w:rsid w:val="004800C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su.edu/recycling/surplus-equip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C7226-0726-4DA6-9230-E26869396F17}">
  <ds:schemaRefs>
    <ds:schemaRef ds:uri="http://schemas.microsoft.com/sharepoint/v3/contenttype/forms"/>
  </ds:schemaRefs>
</ds:datastoreItem>
</file>

<file path=customXml/itemProps2.xml><?xml version="1.0" encoding="utf-8"?>
<ds:datastoreItem xmlns:ds="http://schemas.openxmlformats.org/officeDocument/2006/customXml" ds:itemID="{6876BE39-FF11-48B6-866C-1C5C81B97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5F448-2979-4D4E-99D5-9DBB7F595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NUMBER</vt:lpstr>
    </vt:vector>
  </TitlesOfParts>
  <Company>Youngstown State University</Company>
  <LinksUpToDate>false</LinksUpToDate>
  <CharactersWithSpaces>3686</CharactersWithSpaces>
  <SharedDoc>false</SharedDoc>
  <HLinks>
    <vt:vector size="6" baseType="variant">
      <vt:variant>
        <vt:i4>7340091</vt:i4>
      </vt:variant>
      <vt:variant>
        <vt:i4>0</vt:i4>
      </vt:variant>
      <vt:variant>
        <vt:i4>0</vt:i4>
      </vt:variant>
      <vt:variant>
        <vt:i4>5</vt:i4>
      </vt:variant>
      <vt:variant>
        <vt:lpwstr>https://ysu.edu/recycling/surplus-equipment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subject/>
  <dc:creator>VP for Student Affairs</dc:creator>
  <cp:keywords/>
  <cp:lastModifiedBy>Mari Jusino</cp:lastModifiedBy>
  <cp:revision>2</cp:revision>
  <cp:lastPrinted>2010-05-25T13:42:00Z</cp:lastPrinted>
  <dcterms:created xsi:type="dcterms:W3CDTF">2025-02-27T16:16:00Z</dcterms:created>
  <dcterms:modified xsi:type="dcterms:W3CDTF">2025-02-27T16:16:00Z</dcterms:modified>
</cp:coreProperties>
</file>